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eastAsia="方正小标宋简体" w:cs="方正小标宋简体"/>
          <w:sz w:val="56"/>
          <w:szCs w:val="56"/>
        </w:rPr>
      </w:pPr>
      <w:r>
        <w:rPr>
          <w:rFonts w:hint="eastAsia" w:eastAsia="方正小标宋简体" w:cs="方正小标宋简体"/>
          <w:sz w:val="56"/>
          <w:szCs w:val="56"/>
        </w:rPr>
        <w:t>杭州市校园足球发展</w:t>
      </w:r>
      <w:r>
        <w:rPr>
          <w:rFonts w:hint="eastAsia" w:eastAsia="方正小标宋简体" w:cs="方正小标宋简体"/>
          <w:sz w:val="56"/>
          <w:szCs w:val="56"/>
          <w:lang w:eastAsia="zh-CN"/>
        </w:rPr>
        <w:t>“十四五”</w:t>
      </w:r>
      <w:bookmarkStart w:id="26" w:name="_GoBack"/>
      <w:bookmarkEnd w:id="26"/>
      <w:r>
        <w:rPr>
          <w:rFonts w:hint="eastAsia" w:eastAsia="方正小标宋简体" w:cs="方正小标宋简体"/>
          <w:sz w:val="56"/>
          <w:szCs w:val="56"/>
        </w:rPr>
        <w:t>规划</w:t>
      </w:r>
    </w:p>
    <w:p>
      <w:pPr>
        <w:jc w:val="center"/>
        <w:rPr>
          <w:rFonts w:eastAsia="楷体"/>
          <w:sz w:val="32"/>
          <w:szCs w:val="32"/>
        </w:rPr>
      </w:pPr>
    </w:p>
    <w:p>
      <w:pPr>
        <w:jc w:val="center"/>
        <w:rPr>
          <w:rFonts w:eastAsia="楷体"/>
          <w:sz w:val="32"/>
          <w:szCs w:val="32"/>
        </w:rPr>
      </w:pPr>
    </w:p>
    <w:p>
      <w:pPr>
        <w:jc w:val="center"/>
        <w:rPr>
          <w:rFonts w:eastAsia="楷体"/>
          <w:sz w:val="32"/>
          <w:szCs w:val="32"/>
        </w:rPr>
      </w:pPr>
    </w:p>
    <w:p>
      <w:pPr>
        <w:jc w:val="center"/>
        <w:rPr>
          <w:rFonts w:eastAsia="楷体"/>
          <w:sz w:val="32"/>
          <w:szCs w:val="32"/>
        </w:rPr>
      </w:pPr>
    </w:p>
    <w:p>
      <w:pPr>
        <w:jc w:val="center"/>
        <w:rPr>
          <w:rFonts w:eastAsia="楷体"/>
          <w:sz w:val="32"/>
          <w:szCs w:val="32"/>
        </w:rPr>
      </w:pPr>
    </w:p>
    <w:p>
      <w:pPr>
        <w:jc w:val="center"/>
        <w:rPr>
          <w:rFonts w:eastAsia="楷体"/>
          <w:sz w:val="32"/>
          <w:szCs w:val="32"/>
        </w:rPr>
      </w:pPr>
    </w:p>
    <w:p>
      <w:pPr>
        <w:jc w:val="center"/>
        <w:rPr>
          <w:rFonts w:eastAsia="楷体"/>
          <w:sz w:val="32"/>
          <w:szCs w:val="32"/>
        </w:rPr>
      </w:pPr>
    </w:p>
    <w:p>
      <w:pPr>
        <w:jc w:val="center"/>
        <w:rPr>
          <w:rFonts w:eastAsia="楷体"/>
          <w:sz w:val="32"/>
          <w:szCs w:val="32"/>
        </w:rPr>
      </w:pPr>
    </w:p>
    <w:p>
      <w:pPr>
        <w:rPr>
          <w:rFonts w:eastAsia="楷体"/>
          <w:sz w:val="32"/>
          <w:szCs w:val="32"/>
        </w:rPr>
      </w:pPr>
    </w:p>
    <w:p>
      <w:pPr>
        <w:rPr>
          <w:rFonts w:eastAsia="楷体"/>
          <w:sz w:val="32"/>
          <w:szCs w:val="32"/>
        </w:rPr>
      </w:pPr>
    </w:p>
    <w:p>
      <w:pPr>
        <w:jc w:val="center"/>
        <w:rPr>
          <w:rFonts w:eastAsia="楷体" w:cs="楷体"/>
          <w:sz w:val="32"/>
          <w:szCs w:val="32"/>
        </w:rPr>
      </w:pPr>
      <w:r>
        <w:rPr>
          <w:rFonts w:eastAsia="楷体" w:cs="楷体"/>
          <w:sz w:val="32"/>
          <w:szCs w:val="32"/>
        </w:rPr>
        <w:t>杭州市青少年校园足球工作领导小组</w:t>
      </w:r>
    </w:p>
    <w:p>
      <w:pPr>
        <w:jc w:val="center"/>
        <w:rPr>
          <w:rFonts w:eastAsia="楷体"/>
          <w:sz w:val="32"/>
          <w:szCs w:val="32"/>
        </w:rPr>
      </w:pPr>
      <w:r>
        <w:rPr>
          <w:rFonts w:hint="eastAsia" w:eastAsia="楷体" w:cs="楷体"/>
          <w:sz w:val="32"/>
          <w:szCs w:val="32"/>
        </w:rPr>
        <w:t>二〇二一年七月</w:t>
      </w:r>
    </w:p>
    <w:p>
      <w:pPr>
        <w:pStyle w:val="2"/>
        <w:spacing w:line="240" w:lineRule="auto"/>
        <w:rPr>
          <w:rFonts w:ascii="Times New Roman" w:hAnsi="Times New Roman" w:eastAsia="黑体" w:cs="Times New Roman"/>
          <w:b w:val="0"/>
          <w:bCs w:val="0"/>
        </w:rPr>
        <w:sectPr>
          <w:pgSz w:w="11906" w:h="16838"/>
          <w:pgMar w:top="720" w:right="607" w:bottom="720" w:left="663" w:header="851" w:footer="992" w:gutter="0"/>
          <w:cols w:space="720" w:num="1"/>
          <w:docGrid w:type="lines" w:linePitch="312" w:charSpace="0"/>
        </w:sectPr>
      </w:pPr>
    </w:p>
    <w:p>
      <w:pPr>
        <w:spacing w:line="560" w:lineRule="exact"/>
        <w:jc w:val="center"/>
        <w:rPr>
          <w:rFonts w:ascii="黑体" w:hAnsi="黑体" w:eastAsia="黑体"/>
          <w:sz w:val="48"/>
          <w:szCs w:val="48"/>
        </w:rPr>
      </w:pPr>
      <w:r>
        <w:rPr>
          <w:rFonts w:hint="eastAsia" w:ascii="黑体" w:hAnsi="黑体" w:eastAsia="黑体" w:cs="黑体"/>
          <w:sz w:val="48"/>
          <w:szCs w:val="48"/>
        </w:rPr>
        <w:t>目录</w:t>
      </w:r>
    </w:p>
    <w:p>
      <w:pPr>
        <w:pStyle w:val="5"/>
        <w:tabs>
          <w:tab w:val="right" w:leader="dot" w:pos="8296"/>
        </w:tabs>
        <w:adjustRightInd w:val="0"/>
        <w:snapToGrid w:val="0"/>
        <w:spacing w:line="560" w:lineRule="exact"/>
        <w:rPr>
          <w:rFonts w:ascii="Calibri" w:hAnsi="Calibri"/>
          <w:szCs w:val="21"/>
        </w:rPr>
      </w:pPr>
      <w:r>
        <w:fldChar w:fldCharType="begin"/>
      </w:r>
      <w:r>
        <w:instrText xml:space="preserve"> TOC \o "1-2" \h \z \u </w:instrText>
      </w:r>
      <w:r>
        <w:fldChar w:fldCharType="separate"/>
      </w:r>
      <w:r>
        <w:fldChar w:fldCharType="begin"/>
      </w:r>
      <w:r>
        <w:instrText xml:space="preserve">HYPERLINK  \l "_Toc515646364" </w:instrText>
      </w:r>
      <w:r>
        <w:fldChar w:fldCharType="separate"/>
      </w:r>
      <w:r>
        <w:rPr>
          <w:rStyle w:val="9"/>
          <w:rFonts w:hint="eastAsia" w:ascii="黑体" w:hAnsi="Calibri" w:cs="黑体"/>
        </w:rPr>
        <w:t>前言</w:t>
      </w:r>
      <w:r>
        <w:tab/>
      </w:r>
      <w:r>
        <w:rPr>
          <w:rFonts w:hint="eastAsia"/>
        </w:rPr>
        <w:t>2</w:t>
      </w:r>
      <w:r>
        <w:fldChar w:fldCharType="end"/>
      </w:r>
    </w:p>
    <w:p>
      <w:pPr>
        <w:pStyle w:val="5"/>
        <w:tabs>
          <w:tab w:val="right" w:leader="dot" w:pos="8296"/>
        </w:tabs>
        <w:adjustRightInd w:val="0"/>
        <w:snapToGrid w:val="0"/>
        <w:spacing w:line="560" w:lineRule="exact"/>
        <w:rPr>
          <w:rFonts w:ascii="Calibri" w:hAnsi="Calibri"/>
          <w:szCs w:val="21"/>
        </w:rPr>
      </w:pPr>
      <w:r>
        <w:fldChar w:fldCharType="begin"/>
      </w:r>
      <w:r>
        <w:instrText xml:space="preserve">HYPERLINK  \l "_Toc515646365" </w:instrText>
      </w:r>
      <w:r>
        <w:fldChar w:fldCharType="separate"/>
      </w:r>
      <w:r>
        <w:rPr>
          <w:rStyle w:val="9"/>
          <w:rFonts w:hint="eastAsia" w:ascii="黑体" w:hAnsi="Calibri" w:cs="黑体"/>
        </w:rPr>
        <w:t>一、发展基础</w:t>
      </w:r>
      <w:r>
        <w:tab/>
      </w:r>
      <w:r>
        <w:rPr>
          <w:rFonts w:hint="eastAsia"/>
        </w:rPr>
        <w:t>3</w:t>
      </w:r>
      <w:r>
        <w:fldChar w:fldCharType="end"/>
      </w:r>
    </w:p>
    <w:p>
      <w:pPr>
        <w:pStyle w:val="5"/>
        <w:tabs>
          <w:tab w:val="right" w:leader="dot" w:pos="8296"/>
        </w:tabs>
        <w:adjustRightInd w:val="0"/>
        <w:snapToGrid w:val="0"/>
        <w:spacing w:line="560" w:lineRule="exact"/>
        <w:rPr>
          <w:rFonts w:ascii="Calibri" w:hAnsi="Calibri"/>
          <w:szCs w:val="21"/>
        </w:rPr>
      </w:pPr>
      <w:r>
        <w:fldChar w:fldCharType="begin"/>
      </w:r>
      <w:r>
        <w:instrText xml:space="preserve">HYPERLINK  \l "_Toc515646366" </w:instrText>
      </w:r>
      <w:r>
        <w:fldChar w:fldCharType="separate"/>
      </w:r>
      <w:r>
        <w:rPr>
          <w:rStyle w:val="9"/>
          <w:rFonts w:hint="eastAsia" w:ascii="黑体" w:hAnsi="Calibri" w:cs="黑体"/>
        </w:rPr>
        <w:t>二、总体思路</w:t>
      </w:r>
      <w:r>
        <w:tab/>
      </w:r>
      <w:r>
        <w:rPr>
          <w:rFonts w:hint="eastAsia"/>
        </w:rPr>
        <w:t>10</w:t>
      </w:r>
      <w:r>
        <w:fldChar w:fldCharType="end"/>
      </w:r>
    </w:p>
    <w:p>
      <w:pPr>
        <w:pStyle w:val="6"/>
        <w:tabs>
          <w:tab w:val="right" w:leader="dot" w:pos="8296"/>
        </w:tabs>
        <w:adjustRightInd w:val="0"/>
        <w:snapToGrid w:val="0"/>
        <w:spacing w:line="560" w:lineRule="exact"/>
        <w:rPr>
          <w:rFonts w:ascii="Calibri" w:hAnsi="Calibri" w:eastAsia="宋体"/>
          <w:sz w:val="21"/>
          <w:szCs w:val="21"/>
        </w:rPr>
      </w:pPr>
      <w:r>
        <w:fldChar w:fldCharType="begin"/>
      </w:r>
      <w:r>
        <w:instrText xml:space="preserve">HYPERLINK  \l "_Toc515646367" </w:instrText>
      </w:r>
      <w:r>
        <w:fldChar w:fldCharType="separate"/>
      </w:r>
      <w:r>
        <w:rPr>
          <w:rStyle w:val="9"/>
          <w:rFonts w:ascii="楷体_GB2312" w:hAnsi="Calibri" w:cs="楷体_GB2312"/>
        </w:rPr>
        <w:t>1.</w:t>
      </w:r>
      <w:r>
        <w:rPr>
          <w:rStyle w:val="9"/>
          <w:rFonts w:hint="eastAsia" w:ascii="楷体_GB2312" w:hAnsi="Calibri" w:cs="楷体_GB2312"/>
        </w:rPr>
        <w:t>指导思想</w:t>
      </w:r>
      <w:r>
        <w:tab/>
      </w:r>
      <w:r>
        <w:rPr>
          <w:rFonts w:hint="eastAsia"/>
        </w:rPr>
        <w:t>10</w:t>
      </w:r>
      <w:r>
        <w:fldChar w:fldCharType="end"/>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"_Toc515646368" </w:instrText>
      </w:r>
      <w:r>
        <w:fldChar w:fldCharType="separate"/>
      </w:r>
      <w:r>
        <w:rPr>
          <w:rStyle w:val="9"/>
          <w:rFonts w:ascii="楷体_GB2312" w:hAnsi="Calibri" w:cs="楷体_GB2312"/>
        </w:rPr>
        <w:t>2.</w:t>
      </w:r>
      <w:r>
        <w:rPr>
          <w:rStyle w:val="9"/>
          <w:rFonts w:hint="eastAsia" w:ascii="楷体_GB2312" w:hAnsi="Calibri" w:cs="楷体_GB2312"/>
        </w:rPr>
        <w:t>基本原则</w:t>
      </w:r>
      <w:r>
        <w:tab/>
      </w:r>
      <w:r>
        <w:rPr>
          <w:rFonts w:hint="eastAsia"/>
        </w:rPr>
        <w:t>1</w:t>
      </w:r>
      <w:r>
        <w:fldChar w:fldCharType="end"/>
      </w:r>
      <w:r>
        <w:rPr>
          <w:rFonts w:hint="eastAsia"/>
        </w:rPr>
        <w:t>0</w:t>
      </w:r>
    </w:p>
    <w:p>
      <w:pPr>
        <w:pStyle w:val="6"/>
        <w:tabs>
          <w:tab w:val="right" w:leader="dot" w:pos="8296"/>
        </w:tabs>
        <w:adjustRightInd w:val="0"/>
        <w:snapToGrid w:val="0"/>
        <w:spacing w:line="560" w:lineRule="exact"/>
        <w:rPr>
          <w:rFonts w:ascii="Calibri" w:hAnsi="Calibri" w:eastAsia="宋体"/>
          <w:sz w:val="21"/>
          <w:szCs w:val="21"/>
        </w:rPr>
      </w:pPr>
      <w:r>
        <w:fldChar w:fldCharType="begin"/>
      </w:r>
      <w:r>
        <w:instrText xml:space="preserve">HYPERLINK  \l "_Toc515646369" </w:instrText>
      </w:r>
      <w:r>
        <w:fldChar w:fldCharType="separate"/>
      </w:r>
      <w:r>
        <w:rPr>
          <w:rStyle w:val="9"/>
          <w:rFonts w:ascii="楷体_GB2312" w:hAnsi="Calibri" w:cs="楷体_GB2312"/>
        </w:rPr>
        <w:t>3.</w:t>
      </w:r>
      <w:r>
        <w:rPr>
          <w:rStyle w:val="9"/>
          <w:rFonts w:hint="eastAsia" w:ascii="楷体_GB2312" w:hAnsi="Calibri" w:cs="楷体_GB2312"/>
        </w:rPr>
        <w:t>发展目标</w:t>
      </w:r>
      <w:r>
        <w:tab/>
      </w:r>
      <w:r>
        <w:fldChar w:fldCharType="begin"/>
      </w:r>
      <w:r>
        <w:instrText xml:space="preserve"> PAGEREF _Toc515646369 \h </w:instrText>
      </w:r>
      <w:r>
        <w:fldChar w:fldCharType="separate"/>
      </w:r>
      <w:r>
        <w:t>12</w:t>
      </w:r>
      <w:r>
        <w:fldChar w:fldCharType="end"/>
      </w:r>
      <w:r>
        <w:fldChar w:fldCharType="end"/>
      </w:r>
    </w:p>
    <w:p>
      <w:pPr>
        <w:pStyle w:val="5"/>
        <w:tabs>
          <w:tab w:val="right" w:leader="dot" w:pos="8296"/>
        </w:tabs>
        <w:adjustRightInd w:val="0"/>
        <w:snapToGrid w:val="0"/>
        <w:spacing w:line="560" w:lineRule="exact"/>
        <w:rPr>
          <w:rFonts w:ascii="Calibri" w:hAnsi="Calibri"/>
          <w:szCs w:val="21"/>
        </w:rPr>
      </w:pPr>
      <w:r>
        <w:fldChar w:fldCharType="begin"/>
      </w:r>
      <w:r>
        <w:instrText xml:space="preserve">HYPERLINK  \l "_Toc515646370" </w:instrText>
      </w:r>
      <w:r>
        <w:fldChar w:fldCharType="separate"/>
      </w:r>
      <w:r>
        <w:rPr>
          <w:rStyle w:val="9"/>
          <w:rFonts w:hint="eastAsia" w:ascii="黑体" w:hAnsi="Calibri" w:cs="黑体"/>
        </w:rPr>
        <w:t>三、主要任务</w:t>
      </w:r>
      <w:r>
        <w:tab/>
      </w:r>
      <w:r>
        <w:fldChar w:fldCharType="end"/>
      </w:r>
      <w:r>
        <w:rPr>
          <w:rFonts w:hint="eastAsia"/>
        </w:rPr>
        <w:t>14</w:t>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"_Toc515646371" </w:instrText>
      </w:r>
      <w:r>
        <w:fldChar w:fldCharType="separate"/>
      </w:r>
      <w:r>
        <w:rPr>
          <w:rStyle w:val="9"/>
          <w:rFonts w:ascii="楷体_GB2312" w:hAnsi="Calibri" w:cs="楷体_GB2312"/>
        </w:rPr>
        <w:t>1.</w:t>
      </w:r>
      <w:r>
        <w:rPr>
          <w:rStyle w:val="9"/>
          <w:rFonts w:hint="eastAsia" w:ascii="楷体_GB2312" w:hAnsi="Calibri" w:cs="楷体_GB2312"/>
        </w:rPr>
        <w:t>深化校园足球改革，优化体制机制</w:t>
      </w:r>
      <w:r>
        <w:tab/>
      </w:r>
      <w:r>
        <w:fldChar w:fldCharType="begin"/>
      </w:r>
      <w:r>
        <w:instrText xml:space="preserve"> PAGEREF _Toc515646371 \h </w:instrText>
      </w:r>
      <w:r>
        <w:fldChar w:fldCharType="separate"/>
      </w:r>
      <w:r>
        <w:t>1</w:t>
      </w:r>
      <w:r>
        <w:fldChar w:fldCharType="end"/>
      </w:r>
      <w:r>
        <w:fldChar w:fldCharType="end"/>
      </w:r>
      <w:r>
        <w:rPr>
          <w:rFonts w:hint="eastAsia"/>
        </w:rPr>
        <w:t>4</w:t>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"_Toc515646372" </w:instrText>
      </w:r>
      <w:r>
        <w:fldChar w:fldCharType="separate"/>
      </w:r>
      <w:r>
        <w:rPr>
          <w:rStyle w:val="9"/>
          <w:rFonts w:ascii="楷体_GB2312" w:hAnsi="Calibri" w:cs="楷体_GB2312"/>
        </w:rPr>
        <w:t>2.</w:t>
      </w:r>
      <w:r>
        <w:rPr>
          <w:rStyle w:val="9"/>
          <w:rFonts w:hint="eastAsia" w:ascii="楷体_GB2312" w:hAnsi="Calibri" w:cs="楷体_GB2312"/>
        </w:rPr>
        <w:t>政府引导、社会参与，提高校园足球整体水平</w:t>
      </w:r>
      <w:r>
        <w:tab/>
      </w:r>
      <w:r>
        <w:fldChar w:fldCharType="begin"/>
      </w:r>
      <w:r>
        <w:instrText xml:space="preserve"> PAGEREF _Toc515646372 \h </w:instrText>
      </w:r>
      <w:r>
        <w:fldChar w:fldCharType="separate"/>
      </w:r>
      <w:r>
        <w:t>1</w:t>
      </w:r>
      <w:r>
        <w:fldChar w:fldCharType="end"/>
      </w:r>
      <w:r>
        <w:fldChar w:fldCharType="end"/>
      </w:r>
      <w:r>
        <w:rPr>
          <w:rFonts w:hint="eastAsia"/>
        </w:rPr>
        <w:t>7</w:t>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"_Toc515646373" </w:instrText>
      </w:r>
      <w:r>
        <w:fldChar w:fldCharType="separate"/>
      </w:r>
      <w:r>
        <w:rPr>
          <w:rStyle w:val="9"/>
          <w:rFonts w:ascii="楷体_GB2312" w:hAnsi="Calibri" w:cs="楷体_GB2312"/>
        </w:rPr>
        <w:t>3.</w:t>
      </w:r>
      <w:r>
        <w:rPr>
          <w:rStyle w:val="9"/>
          <w:rFonts w:hint="eastAsia" w:ascii="楷体_GB2312" w:hAnsi="Calibri" w:cs="楷体_GB2312"/>
        </w:rPr>
        <w:t>重视校园足球，建设后备队伍</w:t>
      </w:r>
      <w:r>
        <w:tab/>
      </w:r>
      <w:r>
        <w:rPr>
          <w:rFonts w:hint="eastAsia"/>
        </w:rPr>
        <w:t>1</w:t>
      </w:r>
      <w:r>
        <w:fldChar w:fldCharType="end"/>
      </w:r>
      <w:r>
        <w:rPr>
          <w:rFonts w:hint="eastAsia"/>
        </w:rPr>
        <w:t>8</w:t>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"_Toc515646374" </w:instrText>
      </w:r>
      <w:r>
        <w:fldChar w:fldCharType="separate"/>
      </w:r>
      <w:r>
        <w:rPr>
          <w:rStyle w:val="9"/>
          <w:rFonts w:ascii="楷体_GB2312" w:hAnsi="Calibri" w:cs="楷体_GB2312"/>
        </w:rPr>
        <w:t>4.</w:t>
      </w:r>
      <w:r>
        <w:rPr>
          <w:rStyle w:val="9"/>
          <w:rFonts w:hint="eastAsia" w:ascii="楷体_GB2312" w:hAnsi="Calibri" w:cs="楷体_GB2312"/>
        </w:rPr>
        <w:t>建设足球场地，夯实基础设施</w:t>
      </w:r>
      <w:r>
        <w:tab/>
      </w:r>
      <w:r>
        <w:rPr>
          <w:rFonts w:hint="eastAsia"/>
        </w:rPr>
        <w:t>2</w:t>
      </w:r>
      <w:r>
        <w:fldChar w:fldCharType="end"/>
      </w:r>
      <w:r>
        <w:rPr>
          <w:rFonts w:hint="eastAsia"/>
        </w:rPr>
        <w:t>3</w:t>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"_Toc515646375" </w:instrText>
      </w:r>
      <w:r>
        <w:fldChar w:fldCharType="separate"/>
      </w:r>
      <w:r>
        <w:rPr>
          <w:rStyle w:val="9"/>
          <w:rFonts w:ascii="楷体_GB2312" w:hAnsi="Calibri" w:cs="楷体_GB2312"/>
        </w:rPr>
        <w:t>5.</w:t>
      </w:r>
      <w:r>
        <w:rPr>
          <w:rStyle w:val="9"/>
          <w:rFonts w:hint="eastAsia" w:ascii="楷体_GB2312" w:hAnsi="Calibri" w:cs="楷体_GB2312"/>
        </w:rPr>
        <w:t>创新足球产业发展新模式，扩大校园足球普及</w:t>
      </w:r>
      <w:r>
        <w:tab/>
      </w:r>
      <w:r>
        <w:rPr>
          <w:rFonts w:hint="eastAsia"/>
        </w:rPr>
        <w:t>2</w:t>
      </w:r>
      <w:r>
        <w:fldChar w:fldCharType="end"/>
      </w:r>
      <w:r>
        <w:rPr>
          <w:rFonts w:hint="eastAsia"/>
        </w:rPr>
        <w:t>4</w:t>
      </w:r>
    </w:p>
    <w:p>
      <w:pPr>
        <w:pStyle w:val="5"/>
        <w:tabs>
          <w:tab w:val="right" w:leader="dot" w:pos="8296"/>
        </w:tabs>
        <w:adjustRightInd w:val="0"/>
        <w:snapToGrid w:val="0"/>
        <w:spacing w:line="560" w:lineRule="exact"/>
        <w:rPr>
          <w:rFonts w:ascii="Calibri" w:hAnsi="Calibri"/>
          <w:szCs w:val="21"/>
        </w:rPr>
      </w:pPr>
      <w:r>
        <w:fldChar w:fldCharType="begin"/>
      </w:r>
      <w:r>
        <w:instrText xml:space="preserve">HYPERLINK  \l "_Toc515646377" </w:instrText>
      </w:r>
      <w:r>
        <w:fldChar w:fldCharType="separate"/>
      </w:r>
      <w:r>
        <w:rPr>
          <w:rStyle w:val="9"/>
          <w:rFonts w:hint="eastAsia" w:ascii="黑体" w:hAnsi="Calibri" w:cs="黑体"/>
        </w:rPr>
        <w:t>四、保障措施</w:t>
      </w:r>
      <w:r>
        <w:tab/>
      </w:r>
      <w:r>
        <w:fldChar w:fldCharType="end"/>
      </w:r>
      <w:r>
        <w:rPr>
          <w:rFonts w:hint="eastAsia"/>
        </w:rPr>
        <w:t>26</w:t>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"_Toc515646378" </w:instrText>
      </w:r>
      <w:r>
        <w:fldChar w:fldCharType="separate"/>
      </w:r>
      <w:r>
        <w:rPr>
          <w:rStyle w:val="9"/>
          <w:rFonts w:ascii="楷体_GB2312" w:hAnsi="Calibri" w:cs="楷体_GB2312"/>
        </w:rPr>
        <w:t>1.</w:t>
      </w:r>
      <w:r>
        <w:rPr>
          <w:rStyle w:val="9"/>
          <w:rFonts w:hint="eastAsia" w:ascii="楷体_GB2312" w:hAnsi="Calibri" w:cs="楷体_GB2312"/>
        </w:rPr>
        <w:t>加强组织保障</w:t>
      </w:r>
      <w:r>
        <w:tab/>
      </w:r>
      <w:r>
        <w:rPr>
          <w:rFonts w:hint="eastAsia"/>
        </w:rPr>
        <w:t>2</w:t>
      </w:r>
      <w:r>
        <w:fldChar w:fldCharType="end"/>
      </w:r>
      <w:r>
        <w:rPr>
          <w:rFonts w:hint="eastAsia"/>
        </w:rPr>
        <w:t>6</w:t>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"_Toc515646379" </w:instrText>
      </w:r>
      <w:r>
        <w:fldChar w:fldCharType="separate"/>
      </w:r>
      <w:r>
        <w:rPr>
          <w:rStyle w:val="9"/>
          <w:rFonts w:ascii="楷体_GB2312" w:hAnsi="Calibri" w:cs="楷体_GB2312"/>
        </w:rPr>
        <w:t>2.</w:t>
      </w:r>
      <w:r>
        <w:rPr>
          <w:rStyle w:val="9"/>
          <w:rFonts w:hint="eastAsia" w:ascii="楷体_GB2312" w:hAnsi="Calibri" w:cs="楷体_GB2312"/>
        </w:rPr>
        <w:t>加大经费投入</w:t>
      </w:r>
      <w:r>
        <w:tab/>
      </w:r>
      <w:r>
        <w:rPr>
          <w:rFonts w:hint="eastAsia"/>
        </w:rPr>
        <w:t>2</w:t>
      </w:r>
      <w:r>
        <w:fldChar w:fldCharType="end"/>
      </w:r>
      <w:r>
        <w:rPr>
          <w:rFonts w:hint="eastAsia"/>
        </w:rPr>
        <w:t>8</w:t>
      </w:r>
    </w:p>
    <w:p>
      <w:pPr>
        <w:pStyle w:val="6"/>
        <w:tabs>
          <w:tab w:val="right" w:leader="dot" w:pos="8296"/>
        </w:tabs>
        <w:adjustRightInd w:val="0"/>
        <w:snapToGrid w:val="0"/>
        <w:spacing w:line="560" w:lineRule="exact"/>
        <w:rPr>
          <w:rFonts w:ascii="Calibri" w:hAnsi="Calibri"/>
          <w:sz w:val="21"/>
          <w:szCs w:val="21"/>
        </w:rPr>
      </w:pPr>
      <w:r>
        <w:fldChar w:fldCharType="begin"/>
      </w:r>
      <w:r>
        <w:instrText xml:space="preserve">HYPERLINK  \l "_Toc515646380" </w:instrText>
      </w:r>
      <w:r>
        <w:fldChar w:fldCharType="separate"/>
      </w:r>
      <w:r>
        <w:rPr>
          <w:rStyle w:val="9"/>
          <w:rFonts w:ascii="楷体_GB2312" w:hAnsi="Calibri" w:cs="楷体_GB2312"/>
        </w:rPr>
        <w:t>3.</w:t>
      </w:r>
      <w:r>
        <w:rPr>
          <w:rStyle w:val="9"/>
          <w:rFonts w:hint="eastAsia" w:ascii="楷体_GB2312" w:hAnsi="Calibri" w:cs="楷体_GB2312"/>
        </w:rPr>
        <w:t>营造舆论环境</w:t>
      </w:r>
      <w:r>
        <w:tab/>
      </w:r>
      <w:r>
        <w:fldChar w:fldCharType="end"/>
      </w:r>
      <w:r>
        <w:rPr>
          <w:rFonts w:hint="eastAsia"/>
        </w:rPr>
        <w:t>28</w:t>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"_Toc515646381" </w:instrText>
      </w:r>
      <w:r>
        <w:fldChar w:fldCharType="separate"/>
      </w:r>
      <w:r>
        <w:rPr>
          <w:rStyle w:val="9"/>
          <w:rFonts w:ascii="楷体_GB2312" w:hAnsi="Calibri" w:cs="楷体_GB2312"/>
        </w:rPr>
        <w:t>4.</w:t>
      </w:r>
      <w:r>
        <w:rPr>
          <w:rStyle w:val="9"/>
          <w:rFonts w:hint="eastAsia" w:ascii="楷体_GB2312" w:hAnsi="Calibri" w:cs="楷体_GB2312"/>
        </w:rPr>
        <w:t>深化教学改革</w:t>
      </w:r>
      <w:r>
        <w:tab/>
      </w:r>
      <w:r>
        <w:rPr>
          <w:rFonts w:hint="eastAsia"/>
        </w:rPr>
        <w:t>29</w:t>
      </w:r>
      <w:r>
        <w:fldChar w:fldCharType="end"/>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"_Toc515646382" </w:instrText>
      </w:r>
      <w:r>
        <w:fldChar w:fldCharType="separate"/>
      </w:r>
      <w:r>
        <w:rPr>
          <w:rStyle w:val="9"/>
          <w:rFonts w:ascii="楷体_GB2312" w:hAnsi="Calibri" w:cs="楷体_GB2312"/>
        </w:rPr>
        <w:t>5.</w:t>
      </w:r>
      <w:r>
        <w:rPr>
          <w:rStyle w:val="9"/>
          <w:rFonts w:hint="eastAsia" w:ascii="楷体_GB2312" w:hAnsi="Calibri" w:cs="楷体_GB2312"/>
        </w:rPr>
        <w:t>强化师资培训</w:t>
      </w:r>
      <w:r>
        <w:tab/>
      </w:r>
      <w:r>
        <w:rPr>
          <w:rFonts w:hint="eastAsia"/>
        </w:rPr>
        <w:t>29</w:t>
      </w:r>
      <w:r>
        <w:fldChar w:fldCharType="end"/>
      </w:r>
    </w:p>
    <w:p>
      <w:pPr>
        <w:pStyle w:val="6"/>
        <w:tabs>
          <w:tab w:val="right" w:leader="dot" w:pos="8296"/>
        </w:tabs>
        <w:adjustRightInd w:val="0"/>
        <w:snapToGrid w:val="0"/>
        <w:spacing w:line="560" w:lineRule="exact"/>
        <w:rPr>
          <w:rFonts w:hint="eastAsia"/>
        </w:rPr>
      </w:pPr>
      <w:r>
        <w:fldChar w:fldCharType="begin"/>
      </w:r>
      <w:r>
        <w:instrText xml:space="preserve">HYPERLINK  \l "_Toc515646383" </w:instrText>
      </w:r>
      <w:r>
        <w:fldChar w:fldCharType="separate"/>
      </w:r>
      <w:r>
        <w:rPr>
          <w:rStyle w:val="9"/>
          <w:rFonts w:ascii="楷体_GB2312" w:hAnsi="Calibri" w:cs="楷体_GB2312"/>
        </w:rPr>
        <w:t>6.</w:t>
      </w:r>
      <w:r>
        <w:rPr>
          <w:rStyle w:val="9"/>
          <w:rFonts w:hint="eastAsia" w:ascii="楷体_GB2312" w:hAnsi="Calibri" w:cs="楷体_GB2312"/>
        </w:rPr>
        <w:t>充分调动</w:t>
      </w:r>
      <w:r>
        <w:rPr>
          <w:rStyle w:val="9"/>
          <w:rFonts w:ascii="楷体_GB2312" w:hAnsi="Calibri" w:cs="楷体_GB2312"/>
        </w:rPr>
        <w:t>积极性</w:t>
      </w:r>
      <w:r>
        <w:tab/>
      </w:r>
      <w:r>
        <w:rPr>
          <w:rFonts w:hint="eastAsia"/>
        </w:rPr>
        <w:t>3</w:t>
      </w:r>
      <w:r>
        <w:fldChar w:fldCharType="end"/>
      </w:r>
      <w:r>
        <w:rPr>
          <w:rFonts w:hint="eastAsia"/>
        </w:rPr>
        <w:t>0</w:t>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"_Toc515646381" </w:instrText>
      </w:r>
      <w:r>
        <w:fldChar w:fldCharType="separate"/>
      </w:r>
      <w:r>
        <w:rPr>
          <w:rStyle w:val="9"/>
          <w:rFonts w:hint="eastAsia" w:ascii="楷体_GB2312" w:hAnsi="Calibri" w:cs="楷体_GB2312"/>
        </w:rPr>
        <w:t>7</w:t>
      </w:r>
      <w:r>
        <w:rPr>
          <w:rStyle w:val="9"/>
          <w:rFonts w:ascii="楷体_GB2312" w:hAnsi="Calibri" w:cs="楷体_GB2312"/>
        </w:rPr>
        <w:t>.</w:t>
      </w:r>
      <w:r>
        <w:rPr>
          <w:rStyle w:val="9"/>
          <w:rFonts w:hint="eastAsia" w:ascii="楷体_GB2312" w:hAnsi="Calibri" w:cs="楷体_GB2312"/>
        </w:rPr>
        <w:t>创新发展模式</w:t>
      </w:r>
      <w:r>
        <w:tab/>
      </w:r>
      <w:r>
        <w:rPr>
          <w:rFonts w:hint="eastAsia"/>
        </w:rPr>
        <w:t>3</w:t>
      </w:r>
      <w:r>
        <w:fldChar w:fldCharType="end"/>
      </w:r>
      <w:r>
        <w:rPr>
          <w:rFonts w:hint="eastAsia"/>
        </w:rPr>
        <w:t>0</w:t>
      </w:r>
    </w:p>
    <w:p>
      <w:pPr>
        <w:pStyle w:val="6"/>
        <w:tabs>
          <w:tab w:val="right" w:leader="dot" w:pos="8296"/>
        </w:tabs>
        <w:adjustRightInd w:val="0"/>
        <w:snapToGrid w:val="0"/>
        <w:spacing w:line="560" w:lineRule="exact"/>
        <w:rPr>
          <w:rFonts w:hint="eastAsia" w:ascii="Calibri" w:hAnsi="Calibri"/>
          <w:sz w:val="21"/>
          <w:szCs w:val="21"/>
        </w:rPr>
      </w:pPr>
      <w:r>
        <w:fldChar w:fldCharType="begin"/>
      </w:r>
      <w:r>
        <w:instrText xml:space="preserve">HYPERLINK  \l "_Toc515646382" </w:instrText>
      </w:r>
      <w:r>
        <w:fldChar w:fldCharType="separate"/>
      </w:r>
      <w:r>
        <w:rPr>
          <w:rStyle w:val="9"/>
          <w:rFonts w:hint="eastAsia" w:ascii="楷体_GB2312" w:hAnsi="Calibri" w:cs="楷体_GB2312"/>
        </w:rPr>
        <w:t>8</w:t>
      </w:r>
      <w:r>
        <w:rPr>
          <w:rStyle w:val="9"/>
          <w:rFonts w:ascii="楷体_GB2312" w:hAnsi="Calibri" w:cs="楷体_GB2312"/>
        </w:rPr>
        <w:t>.</w:t>
      </w:r>
      <w:r>
        <w:rPr>
          <w:rStyle w:val="9"/>
          <w:rFonts w:hint="eastAsia" w:ascii="楷体_GB2312" w:hAnsi="Calibri" w:cs="楷体_GB2312"/>
        </w:rPr>
        <w:t>加强场地建设</w:t>
      </w:r>
      <w:r>
        <w:tab/>
      </w:r>
      <w:r>
        <w:rPr>
          <w:rFonts w:hint="eastAsia"/>
        </w:rPr>
        <w:t>3</w:t>
      </w:r>
      <w:r>
        <w:fldChar w:fldCharType="end"/>
      </w:r>
      <w:r>
        <w:rPr>
          <w:rFonts w:hint="eastAsia"/>
        </w:rPr>
        <w:t>1</w:t>
      </w:r>
    </w:p>
    <w:p>
      <w:pPr>
        <w:pStyle w:val="6"/>
        <w:tabs>
          <w:tab w:val="right" w:leader="dot" w:pos="8296"/>
        </w:tabs>
        <w:adjustRightInd w:val="0"/>
        <w:snapToGrid w:val="0"/>
        <w:spacing w:line="560" w:lineRule="exact"/>
        <w:rPr>
          <w:rFonts w:hint="eastAsia"/>
        </w:rPr>
      </w:pPr>
      <w:r>
        <w:fldChar w:fldCharType="begin"/>
      </w:r>
      <w:r>
        <w:instrText xml:space="preserve">HYPERLINK  \l "_Toc515646383" </w:instrText>
      </w:r>
      <w:r>
        <w:fldChar w:fldCharType="separate"/>
      </w:r>
      <w:r>
        <w:rPr>
          <w:rStyle w:val="9"/>
          <w:rFonts w:hint="eastAsia" w:ascii="楷体_GB2312" w:hAnsi="Calibri" w:cs="楷体_GB2312"/>
        </w:rPr>
        <w:t>9</w:t>
      </w:r>
      <w:r>
        <w:rPr>
          <w:rStyle w:val="9"/>
          <w:rFonts w:ascii="楷体_GB2312" w:hAnsi="Calibri" w:cs="楷体_GB2312"/>
        </w:rPr>
        <w:t>.</w:t>
      </w:r>
      <w:r>
        <w:rPr>
          <w:rStyle w:val="9"/>
          <w:rFonts w:hint="eastAsia" w:ascii="楷体_GB2312" w:hAnsi="Calibri" w:cs="楷体_GB2312"/>
        </w:rPr>
        <w:t>健全保障制度</w:t>
      </w:r>
      <w:r>
        <w:tab/>
      </w:r>
      <w:r>
        <w:rPr>
          <w:rFonts w:hint="eastAsia"/>
        </w:rPr>
        <w:t>3</w:t>
      </w:r>
      <w:r>
        <w:fldChar w:fldCharType="end"/>
      </w:r>
      <w:r>
        <w:rPr>
          <w:rFonts w:hint="eastAsia"/>
        </w:rPr>
        <w:t>1</w:t>
      </w:r>
    </w:p>
    <w:p>
      <w:pPr>
        <w:pStyle w:val="6"/>
        <w:tabs>
          <w:tab w:val="right" w:leader="dot" w:pos="8296"/>
        </w:tabs>
        <w:adjustRightInd w:val="0"/>
        <w:snapToGrid w:val="0"/>
        <w:spacing w:line="560" w:lineRule="exact"/>
        <w:rPr>
          <w:rFonts w:hint="eastAsia"/>
        </w:rPr>
      </w:pPr>
      <w:r>
        <w:fldChar w:fldCharType="begin"/>
      </w:r>
      <w:r>
        <w:instrText xml:space="preserve">HYPERLINK  \l "_Toc515646383" </w:instrText>
      </w:r>
      <w:r>
        <w:fldChar w:fldCharType="separate"/>
      </w:r>
      <w:r>
        <w:rPr>
          <w:rStyle w:val="9"/>
          <w:rFonts w:hint="eastAsia" w:ascii="楷体_GB2312" w:hAnsi="Calibri" w:cs="楷体_GB2312"/>
        </w:rPr>
        <w:t>10</w:t>
      </w:r>
      <w:r>
        <w:rPr>
          <w:rStyle w:val="9"/>
          <w:rFonts w:ascii="楷体_GB2312" w:hAnsi="Calibri" w:cs="楷体_GB2312"/>
        </w:rPr>
        <w:t>.</w:t>
      </w:r>
      <w:r>
        <w:rPr>
          <w:rStyle w:val="9"/>
          <w:rFonts w:hint="eastAsia" w:ascii="楷体_GB2312" w:hAnsi="Calibri" w:cs="楷体_GB2312"/>
        </w:rPr>
        <w:t>促进交流合作</w:t>
      </w:r>
      <w:r>
        <w:tab/>
      </w:r>
      <w:r>
        <w:rPr>
          <w:rFonts w:hint="eastAsia"/>
        </w:rPr>
        <w:t>3</w:t>
      </w:r>
      <w:r>
        <w:fldChar w:fldCharType="end"/>
      </w:r>
      <w:r>
        <w:rPr>
          <w:rFonts w:hint="eastAsia"/>
        </w:rPr>
        <w:t>2</w:t>
      </w:r>
    </w:p>
    <w:p>
      <w:pPr>
        <w:adjustRightInd w:val="0"/>
        <w:snapToGrid w:val="0"/>
        <w:spacing w:beforeLines="50" w:line="560" w:lineRule="exact"/>
        <w:rPr>
          <w:rFonts w:ascii="楷体_GB2312" w:eastAsia="楷体_GB2312" w:cs="楷体_GB2312"/>
          <w:sz w:val="30"/>
          <w:szCs w:val="30"/>
        </w:rPr>
      </w:pPr>
      <w:r>
        <w:fldChar w:fldCharType="end"/>
      </w:r>
    </w:p>
    <w:p>
      <w:pPr>
        <w:spacing w:beforeLines="50" w:afterLines="50"/>
        <w:ind w:firstLine="640" w:firstLineChars="200"/>
        <w:jc w:val="center"/>
        <w:outlineLvl w:val="0"/>
        <w:rPr>
          <w:rFonts w:ascii="黑体" w:hAnsi="Calibri" w:eastAsia="黑体"/>
          <w:sz w:val="32"/>
          <w:szCs w:val="32"/>
        </w:rPr>
      </w:pPr>
      <w:bookmarkStart w:id="0" w:name="_Toc515646364"/>
      <w:bookmarkStart w:id="1" w:name="_Toc515646117"/>
      <w:r>
        <w:rPr>
          <w:rFonts w:hint="eastAsia" w:ascii="黑体" w:hAnsi="Calibri" w:eastAsia="黑体" w:cs="黑体"/>
          <w:sz w:val="32"/>
          <w:szCs w:val="32"/>
        </w:rPr>
        <w:t>前  言</w:t>
      </w:r>
      <w:bookmarkEnd w:id="0"/>
      <w:bookmarkEnd w:id="1"/>
    </w:p>
    <w:p>
      <w:pPr>
        <w:ind w:firstLine="640" w:firstLineChars="200"/>
        <w:rPr>
          <w:rFonts w:ascii="仿宋_GB2312" w:hAnsi="仿宋" w:eastAsia="仿宋_GB2312"/>
          <w:sz w:val="32"/>
          <w:szCs w:val="32"/>
        </w:rPr>
      </w:pPr>
      <w:r>
        <w:rPr>
          <w:rFonts w:hint="eastAsia" w:ascii="仿宋_GB2312" w:hAnsi="仿宋" w:eastAsia="仿宋_GB2312" w:cs="仿宋"/>
          <w:sz w:val="32"/>
          <w:szCs w:val="32"/>
        </w:rPr>
        <w:t>足球是全球最具影响力和感召力的单项体育运动，被誉为“世界第一体育运动”。振兴足球已成为全国人民的热切期盼，事关民族荣誉、群众身心健康和体育文化传承，对繁荣体育运动、丰富文化生活、促进经济社会发展、实现体育强国梦具有重要意义，被党中央作为发展体育运动、建设体育强国的重要任务摆上日程。</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加快发展青少年校园足球是贯彻党的教育方针，促进学生健康成长和全面发展的重要举措，是改革足球人才培养机制，提高足球发展水平和实现中国足球梦想的基础性工程。为全面贯彻落实党中央、国务院和省委、省政府关于足球改革发展的决策部署，进一步深化教育领域综合改革，加快杭州校园足球运动的发展、建设体育强市，推动打造独特韵味别样精彩的世界名城，根据《中国足球改革总体方案》以及《中国足球中长期发展规划（2016-2050年）》《全国足球场地设施建设规划（2016-2020年）》《教育部等6部门关于加快发展青少年校园足球的实施意见》（教体艺〔2015〕6号）、《全国青少年校园足球工作报告（2015-2019）》《全国青少年校园足球改革试验区基本要求(试行)》《全国青少年校园足球工作五年总结及2020年工作部署》《浙江省青少年校园足球改革发展方案》《浙江省足球中长期发展规划（2016-2050年）》《浙江省足球场地设施建设规划（2016-2020年）》《关于促进全民健身和体育消费推动体育产业高质量发展的实施意见》《关于印发加快发展青少年校园足球实施意见的通知》（杭教高中〔2016〕7号）、《关于建立健全棋类共建学校和校园足球特色学校培育管理机制的通知》（杭教德体卫艺〔2018〕17号）等文件精神，结合杭州校园足球实际情况，特制订本规划。</w:t>
      </w:r>
    </w:p>
    <w:p>
      <w:pPr>
        <w:ind w:firstLine="643" w:firstLineChars="200"/>
        <w:rPr>
          <w:rFonts w:ascii="仿宋_GB2312" w:hAnsi="仿宋" w:eastAsia="仿宋_GB2312"/>
          <w:sz w:val="32"/>
          <w:szCs w:val="32"/>
        </w:rPr>
      </w:pPr>
      <w:r>
        <w:rPr>
          <w:rFonts w:hint="eastAsia" w:ascii="仿宋_GB2312" w:hAnsi="仿宋" w:eastAsia="仿宋_GB2312" w:cs="仿宋"/>
          <w:b/>
          <w:bCs/>
          <w:sz w:val="32"/>
          <w:szCs w:val="32"/>
        </w:rPr>
        <w:t>规划范围：</w:t>
      </w:r>
      <w:r>
        <w:rPr>
          <w:rFonts w:hint="eastAsia" w:ascii="仿宋_GB2312" w:hAnsi="仿宋" w:eastAsia="仿宋_GB2312" w:cs="仿宋"/>
          <w:sz w:val="32"/>
          <w:szCs w:val="32"/>
        </w:rPr>
        <w:t>杭州全市域。本规划中的足球场地包括5人制、7人制（8人制）和11人制场地，其中标准场地指11人制足球场。</w:t>
      </w:r>
    </w:p>
    <w:p>
      <w:pPr>
        <w:ind w:firstLine="643" w:firstLineChars="200"/>
        <w:rPr>
          <w:rFonts w:ascii="仿宋_GB2312" w:hAnsi="仿宋" w:eastAsia="仿宋_GB2312"/>
          <w:sz w:val="32"/>
          <w:szCs w:val="32"/>
        </w:rPr>
      </w:pPr>
      <w:r>
        <w:rPr>
          <w:rFonts w:hint="eastAsia" w:ascii="仿宋_GB2312" w:hAnsi="仿宋" w:eastAsia="仿宋_GB2312" w:cs="仿宋"/>
          <w:b/>
          <w:bCs/>
          <w:sz w:val="32"/>
          <w:szCs w:val="32"/>
        </w:rPr>
        <w:t>规划期限：</w:t>
      </w:r>
      <w:r>
        <w:rPr>
          <w:rFonts w:hint="eastAsia" w:ascii="仿宋_GB2312" w:hAnsi="仿宋" w:eastAsia="仿宋_GB2312" w:cs="仿宋"/>
          <w:sz w:val="32"/>
          <w:szCs w:val="32"/>
        </w:rPr>
        <w:t>2021至2025年。</w:t>
      </w:r>
    </w:p>
    <w:p>
      <w:pPr>
        <w:ind w:firstLine="640" w:firstLineChars="200"/>
        <w:rPr>
          <w:rFonts w:ascii="仿宋" w:hAnsi="仿宋" w:eastAsia="仿宋"/>
          <w:sz w:val="32"/>
          <w:szCs w:val="32"/>
        </w:rPr>
      </w:pPr>
    </w:p>
    <w:p>
      <w:pPr>
        <w:spacing w:beforeLines="50" w:afterLines="50"/>
        <w:ind w:firstLine="640" w:firstLineChars="200"/>
        <w:outlineLvl w:val="0"/>
        <w:rPr>
          <w:rFonts w:ascii="黑体" w:hAnsi="Calibri" w:eastAsia="黑体"/>
          <w:sz w:val="32"/>
          <w:szCs w:val="32"/>
        </w:rPr>
      </w:pPr>
      <w:bookmarkStart w:id="2" w:name="_Toc515646118"/>
      <w:bookmarkStart w:id="3" w:name="_Toc515646365"/>
      <w:r>
        <w:rPr>
          <w:rFonts w:hint="eastAsia" w:ascii="黑体" w:hAnsi="Calibri" w:eastAsia="黑体" w:cs="黑体"/>
          <w:sz w:val="32"/>
          <w:szCs w:val="32"/>
        </w:rPr>
        <w:t>一、发展基础</w:t>
      </w:r>
      <w:bookmarkEnd w:id="2"/>
      <w:bookmarkEnd w:id="3"/>
    </w:p>
    <w:p>
      <w:pPr>
        <w:ind w:firstLine="640" w:firstLineChars="200"/>
        <w:rPr>
          <w:rFonts w:ascii="仿宋_GB2312" w:hAnsi="仿宋" w:eastAsia="仿宋_GB2312"/>
          <w:sz w:val="32"/>
          <w:szCs w:val="32"/>
        </w:rPr>
      </w:pPr>
      <w:r>
        <w:rPr>
          <w:rFonts w:hint="eastAsia" w:ascii="仿宋_GB2312" w:hAnsi="仿宋" w:eastAsia="仿宋_GB2312" w:cs="仿宋"/>
          <w:sz w:val="32"/>
          <w:szCs w:val="32"/>
        </w:rPr>
        <w:t>杭州足球运动历史悠久，群众基础广泛。随着市民生活水平的提高和体育健身意识的增强，足球运动逐渐成为我市全民健身的重要组成部分，尤其在校园足球、青训体系、社会足球等领域形成自身的模式和特色。</w:t>
      </w:r>
    </w:p>
    <w:p>
      <w:pPr>
        <w:ind w:firstLine="640" w:firstLineChars="200"/>
        <w:rPr>
          <w:rFonts w:ascii="楷体" w:hAnsi="楷体" w:eastAsia="楷体" w:cs="仿宋"/>
          <w:sz w:val="32"/>
          <w:szCs w:val="32"/>
        </w:rPr>
      </w:pPr>
      <w:r>
        <w:rPr>
          <w:rFonts w:hint="eastAsia" w:ascii="楷体" w:hAnsi="楷体" w:eastAsia="楷体" w:cs="仿宋"/>
          <w:sz w:val="32"/>
          <w:szCs w:val="32"/>
        </w:rPr>
        <w:t>(一）杭州校园足球发展基础较好。</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杭州市青少年校园足球工作始于2009年。自2014年11月26日国务院召开全国青少年校园足球工作电视电话会议以来，教育部正式牵头负责全国青少年校园足球工作。五年来，杭州市教育局把发展校园足球作为推进素质教育，促进教育改革的重要抓手，在大力普及发展校园足球、扩大足球人口基数和规模、不断提高教学、训练、竞赛水平和保障水平等方面取得了一定成效。</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截至目前，杭州市共有117所学校入选全国青少年校园足球特色学校，105所浙江省青少年校园足球特色学校,216所市级青少年校园足球特色学校,38所国家级、44所省级校园足球改革试点幼儿园，76所市级校园足球改革试点幼儿园，还有1个全国青少年校园足球试点区和“满天星”训练营基地，2个浙江省青少年校园足球试点区和4个市级青少年校园足球试点区。全市拥有各类校园足球场地数量为800余个。</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自2015年起，杭州市校园足球师训工作实行分级管理分级培训，每年至少举办两期国家级和市级校园足球骨干教师培训，各区、县（市）每年分别举办一期小学、初中校园足球骨干教师培训，每年组织一批体育骨干教师前往足球发达国家进行交流、培训，积极汲取国外先进足球发展经验。截至目前，我市已组织近200名足球专职教师赴英国、法国、西班牙交流学习。</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2015年以来，杭州市青少年校园足球工作领导小组办公室（以下简称“市校足办”）每年组织校园足球精英训练营，寒暑期各一次，主要针对校园足球联赛中涌现出的优秀足球苗子进行集训，普及中稳抓提高。</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自2009年起，杭州市青少年校园足球联赛已连续举办十一届，现已更名为“市长杯”校园足球联赛，参加联赛的学校和人数由设立之初的54所中小学增加到现今各区、县（市）全覆盖，市级参赛队伍由88支扩展到300多支。目前联赛分为小学男子甲组、小学男子乙组、小学女子组、初中男子组、初中女子组、高中男子组、高中女子组七个组别进行，参赛人数呈现逐年上升趋势。2020年，据不完全统计，全市校园足球赛事共有5251场次，其中，小学校园足球赛3797场次，中学校园足球赛1554场次。杭州市校园足球发展水平走在全国前列。</w:t>
      </w:r>
    </w:p>
    <w:p>
      <w:pPr>
        <w:ind w:firstLine="640" w:firstLineChars="200"/>
        <w:rPr>
          <w:rFonts w:ascii="楷体" w:hAnsi="楷体" w:eastAsia="楷体" w:cs="仿宋"/>
          <w:sz w:val="32"/>
          <w:szCs w:val="32"/>
        </w:rPr>
      </w:pPr>
      <w:r>
        <w:rPr>
          <w:rFonts w:hint="eastAsia" w:ascii="楷体" w:hAnsi="楷体" w:eastAsia="楷体" w:cs="仿宋"/>
          <w:sz w:val="32"/>
          <w:szCs w:val="32"/>
        </w:rPr>
        <w:t>（二）校园足球的探索与实践扎实有力。</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2018年在市校足办统筹指导下，全市各区、县（市）均成立各自的校足办，把校园足球纳入区、县（市）教育部门的重点工作。市教研部门牵头研发的针对全市幼儿园、小学、中学、高中的普及校园足球教学和文化的教材《足球+》正式出版，同年挂牌设立校园足球幼儿实验基地，开展了形式多样、内容丰富的幼儿足球展示活动。 </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2021年，根据《杭州市教育局 杭州市体育局关于公布“市队联办”体育后备人才基地名单的通知》精神，认定18所足球市队联办和体教结合的中小学校，为我市足球后备人才培养构建了坚实的政策桥梁。</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2019年，市校足办牵头研发《杭州市青少年校园足球精英训练大纲》，着重为9-12岁“黄金年龄段”的精英足球队员提供训练指导。鼓励全市所有中小学结合学校体育课程的开设和大课间活动，安排校园足球教学内容，并贯彻落实校园足球特色学校每周一节足球课。</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2019年初，杭州市教育局正式将足球绕杆项目加入中小学生的体质健康抽测项目，进一步加大足球在全市中小学生中的普及推广力度，引起社会各界的广泛反响和关注，掀起了足球训练新热潮。</w:t>
      </w:r>
    </w:p>
    <w:p>
      <w:pPr>
        <w:ind w:firstLine="640" w:firstLineChars="200"/>
        <w:rPr>
          <w:rFonts w:ascii="楷体" w:hAnsi="楷体" w:eastAsia="楷体" w:cs="仿宋"/>
          <w:sz w:val="32"/>
          <w:szCs w:val="32"/>
        </w:rPr>
      </w:pPr>
      <w:r>
        <w:rPr>
          <w:rFonts w:hint="eastAsia" w:ascii="楷体" w:hAnsi="楷体" w:eastAsia="楷体" w:cs="仿宋"/>
          <w:sz w:val="32"/>
          <w:szCs w:val="32"/>
        </w:rPr>
        <w:t>（三）创新管理模式取得成效。</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2018年8月，杭州市教育局、中国棋院杭州分院牵头，联合杭州市体育局、杭州市棋类协会、杭州市足球协会成立杭州市棋类共建学校和足球特色学校培育管理中心（以下简称“市培管中心”），统筹管理杭州市棋类共建学校，同步开展杭州市青少年校园足球特色学校培育、普及管理工作，同时对棋类、足球青训机构进行规范性指导。</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杭州市财政局的大力支持下，于2019年底中国棋院杭州分院、杭州市教育局印发《杭州市校园足球特色学校绩效考核评价实施方案（试行）》”（中棋杭〔2019〕38号），由市培管中心组织对全市校园足球特色学校（幼儿园）实施考核评价，并对优秀校园足球特色学校（幼儿园）进行表彰，向获评学校（幼儿园）发放了奖补经费，为我市全面推进校园足球工作提供有力保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2018年和2021年，由市培管中心牵头先后两次采用市区两级联动的方式，通过对杭州市社会足球青训机构（俱乐部）在资质、服务质量、办赛等项目的审核认定，核准了32家“杭州市校园足球青训机构”，并列入“杭州市校园足球青训机构名录”，由市校足办推荐至我市学校（幼儿园），根据“杭州市校园足球青训机构星级管理权限”开展校园足球执教、研学（冬夏令营）、办赛、师训等活动，进一步规范了社会力量服务支持青少年校园足球活动。</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举办“七彩童年阳光宝宝”小脚丫大世界足球活动，以培养足球兴趣为目标，在我市幼儿园推广足球项目。组织以各区、县（市）小学男子甲组最佳阵容队伍为参加单位的市级最强阵容联赛、在每个学校推广足球班班联赛，组织参加全国兄弟城市足球邀请赛等足球赛事活动，进一步扩大了校园足球在我市中小学的普及。</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市校足办牵头，2018年起连续3年举办“市长杯”高中男子组足球总决赛，现场邀请了杭州市人民政府副市长，浙江省体育局、杭州市教育局、杭州市体育局等单位主要领导，全市十多家社会足球青训俱乐部代表和3000多名学生观众观看比赛，各大媒体进行现场报告和视频直播，进一步弘扬了校园足球文化，扩大了校园足球的影响力。</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建立了小学（江干区濮家小学）、初中（江干区采荷中学）、高中（浙江省杭州第二中学）完备的杭州市校园足球精英梯队培养体系，打通升学通道，有效保障学生足球运动员基础教育的整体性和校园足球精英梯队建设的完整性。</w:t>
      </w:r>
    </w:p>
    <w:p>
      <w:pPr>
        <w:ind w:firstLine="640" w:firstLineChars="200"/>
        <w:rPr>
          <w:rFonts w:eastAsia="楷体" w:cs="楷体"/>
          <w:sz w:val="32"/>
          <w:szCs w:val="32"/>
        </w:rPr>
      </w:pPr>
      <w:r>
        <w:rPr>
          <w:rFonts w:hint="eastAsia" w:eastAsia="楷体"/>
          <w:sz w:val="32"/>
          <w:szCs w:val="32"/>
        </w:rPr>
        <w:t>（四）</w:t>
      </w:r>
      <w:r>
        <w:rPr>
          <w:rFonts w:hint="eastAsia" w:eastAsia="楷体" w:cs="楷体"/>
          <w:sz w:val="32"/>
          <w:szCs w:val="32"/>
        </w:rPr>
        <w:t>人才培养队伍愈加壮大。</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市加大青少年足球后备人才培育，形成以绿城青训为龙头、融合普通学校、俱乐部和足校三者的“集训+走训”体教结合模式，是全省输出中国国字号球员的重点城市，足球后备人才培养模式领先全国。积极开展社会体育指导员（足球）职业技能竞赛等技能提升活动，建立一支结构较为合理、专业素质较好的杭州足球人才队伍，市财政每年为参赛注册学生运动员和教练购买校园责任保险，足球专业人才数量不断增加。截至2020年底，全市共有足球运动员人数14991人，足球教练员人数931人，裁判员298人。</w:t>
      </w:r>
    </w:p>
    <w:p>
      <w:pPr>
        <w:ind w:firstLine="640" w:firstLineChars="200"/>
        <w:rPr>
          <w:rFonts w:ascii="仿宋_GB2312" w:hAnsi="仿宋" w:eastAsia="仿宋_GB2312"/>
          <w:sz w:val="32"/>
          <w:szCs w:val="32"/>
        </w:rPr>
      </w:pPr>
      <w:r>
        <w:rPr>
          <w:rFonts w:hint="eastAsia" w:ascii="仿宋_GB2312" w:hAnsi="仿宋" w:eastAsia="仿宋_GB2312" w:cs="仿宋"/>
          <w:sz w:val="32"/>
          <w:szCs w:val="32"/>
        </w:rPr>
        <w:t>2018年起，杭州市教育局与杭州市足球协会、浙江省足球协会合作研发了《校园足球教练普及性业务培训教学大纲》和校园足球师资培训体系，结合《杭州市校园足球执教证》的执行和纳入教师继续教育学分管理，进一步规范和加强校园足球师资队伍建设。</w:t>
      </w:r>
    </w:p>
    <w:p>
      <w:pPr>
        <w:ind w:firstLine="640" w:firstLineChars="200"/>
        <w:rPr>
          <w:rFonts w:eastAsia="楷体" w:cs="楷体"/>
          <w:sz w:val="32"/>
          <w:szCs w:val="32"/>
        </w:rPr>
      </w:pPr>
      <w:r>
        <w:rPr>
          <w:rFonts w:hint="eastAsia" w:eastAsia="楷体"/>
          <w:sz w:val="32"/>
          <w:szCs w:val="32"/>
        </w:rPr>
        <w:t>（五）</w:t>
      </w:r>
      <w:r>
        <w:rPr>
          <w:rFonts w:hint="eastAsia" w:eastAsia="楷体" w:cs="楷体"/>
          <w:sz w:val="32"/>
          <w:szCs w:val="32"/>
        </w:rPr>
        <w:t>足球场地设施逐步完善。</w:t>
      </w:r>
    </w:p>
    <w:p>
      <w:pPr>
        <w:ind w:firstLine="640" w:firstLineChars="200"/>
        <w:rPr>
          <w:rFonts w:ascii="仿宋_GB2312" w:hAnsi="仿宋" w:eastAsia="仿宋_GB2312"/>
          <w:sz w:val="32"/>
          <w:szCs w:val="32"/>
        </w:rPr>
      </w:pPr>
      <w:r>
        <w:rPr>
          <w:rFonts w:hint="eastAsia" w:ascii="仿宋_GB2312" w:hAnsi="仿宋" w:eastAsia="仿宋_GB2312" w:cs="仿宋"/>
          <w:sz w:val="32"/>
          <w:szCs w:val="32"/>
        </w:rPr>
        <w:t>随着全民健身中心的普及和发展、体育设施建设力度的加大，我市已积累了初具规模、类型基本齐全的足球场地设施，涵盖11人制、7人制、5人制。截至2020年底，全市共有各类足球场地973块，其中，11人制场地21块，7（8）人制场地32块，5人制及其他场地107块。全市足球场地分布主要集中在学校，校园足球场地数813块，占比达85%。随着公共及学校体育设施免费或低收费开放工作深入推进，全市校园足球场地资源共享水平进一步提高，全天开放或部分时</w:t>
      </w:r>
      <w:r>
        <w:rPr>
          <w:rFonts w:hint="eastAsia" w:ascii="仿宋_GB2312" w:eastAsia="仿宋_GB2312"/>
          <w:sz w:val="32"/>
          <w:szCs w:val="32"/>
        </w:rPr>
        <w:t>段开放的足球场地达到80%以上。</w:t>
      </w:r>
    </w:p>
    <w:p>
      <w:pPr>
        <w:ind w:firstLine="640" w:firstLineChars="200"/>
        <w:rPr>
          <w:rFonts w:eastAsia="仿宋_GB2312"/>
          <w:sz w:val="32"/>
          <w:szCs w:val="32"/>
        </w:rPr>
      </w:pPr>
      <w:r>
        <w:rPr>
          <w:rFonts w:hint="eastAsia" w:eastAsia="仿宋_GB2312"/>
          <w:sz w:val="32"/>
          <w:szCs w:val="32"/>
        </w:rPr>
        <w:t>虽然我市足球发展已取得较大成效，但横向比较，杭州足球品牌的影响力仍然偏弱，足球发展也面临着一些瓶颈和障碍，主要表现在：一是足球竞技水平不强，缺乏能参加全国顶级足球赛事、且与杭州经济社会发展水平相匹配的青少年足球队伍；二是足球场地设施不足，平均每万人拥有场地数量横向比较优势不明显，足球场地数量和质量有待进一步提高；三是专业教练、专业足球人才等缺乏，足球等级评价体系、培训体系、管理体系需进一步健全；四是足球产业发展潜力挖掘不够，产业规模化、融合式发展尚未形成。</w:t>
      </w:r>
    </w:p>
    <w:p>
      <w:pPr>
        <w:spacing w:beforeLines="50" w:afterLines="50"/>
        <w:ind w:firstLine="640" w:firstLineChars="200"/>
        <w:outlineLvl w:val="0"/>
        <w:rPr>
          <w:rFonts w:ascii="黑体" w:hAnsi="Calibri" w:eastAsia="黑体"/>
          <w:sz w:val="32"/>
          <w:szCs w:val="32"/>
        </w:rPr>
      </w:pPr>
      <w:bookmarkStart w:id="4" w:name="_Toc515646366"/>
      <w:bookmarkStart w:id="5" w:name="_Toc515646119"/>
      <w:r>
        <w:rPr>
          <w:rFonts w:hint="eastAsia" w:ascii="黑体" w:hAnsi="Calibri" w:eastAsia="黑体" w:cs="黑体"/>
          <w:sz w:val="32"/>
          <w:szCs w:val="32"/>
        </w:rPr>
        <w:t>二、总体思路</w:t>
      </w:r>
      <w:bookmarkEnd w:id="4"/>
      <w:bookmarkEnd w:id="5"/>
    </w:p>
    <w:p>
      <w:pPr>
        <w:spacing w:line="360" w:lineRule="auto"/>
        <w:ind w:firstLine="640" w:firstLineChars="200"/>
        <w:outlineLvl w:val="1"/>
        <w:rPr>
          <w:rFonts w:ascii="楷体_GB2312" w:hAnsi="Calibri" w:eastAsia="楷体_GB2312" w:cs="楷体_GB2312"/>
          <w:sz w:val="32"/>
          <w:szCs w:val="32"/>
        </w:rPr>
      </w:pPr>
      <w:bookmarkStart w:id="6" w:name="_Toc515646120"/>
      <w:bookmarkStart w:id="7" w:name="_Toc515646367"/>
      <w:r>
        <w:rPr>
          <w:rFonts w:hint="eastAsia" w:ascii="楷体_GB2312" w:hAnsi="Calibri" w:eastAsia="楷体_GB2312" w:cs="楷体_GB2312"/>
          <w:sz w:val="32"/>
          <w:szCs w:val="32"/>
        </w:rPr>
        <w:t>（一）指导思想</w:t>
      </w:r>
      <w:bookmarkEnd w:id="6"/>
      <w:bookmarkEnd w:id="7"/>
    </w:p>
    <w:p>
      <w:pPr>
        <w:ind w:firstLine="640" w:firstLineChars="200"/>
        <w:rPr>
          <w:rFonts w:eastAsia="仿宋_GB2312"/>
          <w:sz w:val="32"/>
          <w:szCs w:val="32"/>
        </w:rPr>
      </w:pPr>
      <w:r>
        <w:rPr>
          <w:rFonts w:hint="eastAsia" w:eastAsia="仿宋_GB2312"/>
          <w:sz w:val="32"/>
          <w:szCs w:val="32"/>
        </w:rPr>
        <w:t>全面贯彻党的十九大精神，以习近平新时代中国特色社会主义思想为指导，学习贯彻习近平总书记关于体育工作，特别是足球改革发展的系列重要讲话和指示、批示精神，落实党中央、国务院和省委、省政府关于足球改革发展的决策部署，坚持立德树人根本任务，践行社会主义核心价值观，深化教育综合改革，全面推进素质教育，促进青少年健康成长，以改革创新学校体育工作为突破口，遵循足球发展规律，大力推动足球运动社会化、职业化、产业化，促进职业足球、校园足球、社会足球协调发展，建设足球场地设施，发现和培养校园足球后备人才，优化校园足球发展环境，探索形成具有杭州特色的校园足球发展模式，提升青少年学生体质水平和综合素养，推动我市青少年校园足球全面、健康、持续发展，全面提升杭州足球竞争力和影响力，为实现中国足球梦想贡献杭州力量。</w:t>
      </w:r>
    </w:p>
    <w:p>
      <w:pPr>
        <w:spacing w:line="360" w:lineRule="auto"/>
        <w:ind w:firstLine="640" w:firstLineChars="200"/>
        <w:outlineLvl w:val="1"/>
        <w:rPr>
          <w:rFonts w:ascii="楷体_GB2312" w:hAnsi="Calibri" w:eastAsia="楷体_GB2312"/>
          <w:sz w:val="32"/>
          <w:szCs w:val="32"/>
        </w:rPr>
      </w:pPr>
      <w:bookmarkStart w:id="8" w:name="_Toc515646121"/>
      <w:bookmarkStart w:id="9" w:name="_Toc515646368"/>
      <w:r>
        <w:rPr>
          <w:rFonts w:hint="eastAsia" w:ascii="楷体_GB2312" w:hAnsi="Calibri" w:eastAsia="楷体_GB2312" w:cs="楷体_GB2312"/>
          <w:sz w:val="32"/>
          <w:szCs w:val="32"/>
        </w:rPr>
        <w:t>（二）基本原则</w:t>
      </w:r>
      <w:bookmarkEnd w:id="8"/>
      <w:bookmarkEnd w:id="9"/>
    </w:p>
    <w:p>
      <w:pPr>
        <w:ind w:firstLine="640" w:firstLineChars="200"/>
        <w:rPr>
          <w:rFonts w:eastAsia="仿宋_GB2312"/>
          <w:sz w:val="32"/>
          <w:szCs w:val="32"/>
        </w:rPr>
      </w:pPr>
      <w:r>
        <w:rPr>
          <w:rFonts w:eastAsia="仿宋_GB2312"/>
          <w:sz w:val="32"/>
          <w:szCs w:val="32"/>
        </w:rPr>
        <w:t>——</w:t>
      </w:r>
      <w:r>
        <w:rPr>
          <w:rFonts w:hint="eastAsia" w:eastAsia="楷体" w:cs="楷体"/>
          <w:sz w:val="32"/>
          <w:szCs w:val="32"/>
        </w:rPr>
        <w:t>着眼长远与夯实基础相结合</w:t>
      </w:r>
      <w:r>
        <w:rPr>
          <w:rFonts w:hint="eastAsia" w:eastAsia="仿宋_GB2312" w:cs="仿宋_GB2312"/>
          <w:sz w:val="32"/>
          <w:szCs w:val="32"/>
        </w:rPr>
        <w:t>。</w:t>
      </w:r>
      <w:r>
        <w:rPr>
          <w:rFonts w:hint="eastAsia" w:eastAsia="仿宋_GB2312"/>
          <w:sz w:val="32"/>
          <w:szCs w:val="32"/>
        </w:rPr>
        <w:t>立足杭州实际，遵循校园足球发展规律，学习借鉴国内外先进经验，突出杭州校园足球特色和优势，顶层设计，科学谋划，将校园足球工作重心落到各学校（幼儿园）和基层，改进校园足球人才培养方式，从娃娃抓起，从基础筑起，有序推进，加强校园足球后备人才的培养和输送。</w:t>
      </w:r>
    </w:p>
    <w:p>
      <w:pPr>
        <w:ind w:firstLine="640" w:firstLineChars="200"/>
        <w:rPr>
          <w:rFonts w:ascii="仿宋" w:hAnsi="仿宋" w:eastAsia="仿宋" w:cs="仿宋"/>
          <w:sz w:val="32"/>
          <w:szCs w:val="32"/>
        </w:rPr>
      </w:pPr>
      <w:r>
        <w:rPr>
          <w:rFonts w:eastAsia="仿宋_GB2312"/>
          <w:sz w:val="32"/>
          <w:szCs w:val="32"/>
        </w:rPr>
        <w:t>—</w:t>
      </w:r>
      <w:r>
        <w:rPr>
          <w:rFonts w:eastAsia="楷体" w:cs="楷体"/>
          <w:sz w:val="32"/>
          <w:szCs w:val="32"/>
        </w:rPr>
        <w:t>—</w:t>
      </w:r>
      <w:r>
        <w:rPr>
          <w:rFonts w:hint="eastAsia" w:eastAsia="楷体" w:cs="楷体"/>
          <w:sz w:val="32"/>
          <w:szCs w:val="32"/>
        </w:rPr>
        <w:t>人才</w:t>
      </w:r>
      <w:r>
        <w:rPr>
          <w:rFonts w:eastAsia="楷体" w:cs="楷体"/>
          <w:sz w:val="32"/>
          <w:szCs w:val="32"/>
        </w:rPr>
        <w:t>培养</w:t>
      </w:r>
      <w:r>
        <w:rPr>
          <w:rFonts w:hint="eastAsia" w:eastAsia="楷体" w:cs="楷体"/>
          <w:sz w:val="32"/>
          <w:szCs w:val="32"/>
        </w:rPr>
        <w:t>与素质教育相结合</w:t>
      </w:r>
      <w:r>
        <w:rPr>
          <w:rFonts w:hint="eastAsia" w:eastAsia="仿宋_GB2312" w:cs="仿宋_GB2312"/>
          <w:sz w:val="32"/>
          <w:szCs w:val="32"/>
        </w:rPr>
        <w:t>。</w:t>
      </w:r>
      <w:r>
        <w:rPr>
          <w:rFonts w:hint="eastAsia" w:eastAsia="仿宋_GB2312"/>
          <w:sz w:val="32"/>
          <w:szCs w:val="32"/>
        </w:rPr>
        <w:t>立足以人为本，把全面推进素质教育、培养全面发展人才、促进青少年健康成长放在首位，结合</w:t>
      </w:r>
      <w:r>
        <w:rPr>
          <w:rFonts w:eastAsia="仿宋_GB2312"/>
          <w:sz w:val="32"/>
          <w:szCs w:val="32"/>
        </w:rPr>
        <w:t>本地本校实际，着眼长远发展，遵循教育规律和足球人才培养规律，积极探索符合本地本校实际的校园足球发展道路，形成各具特色的校园足球发展模式。</w:t>
      </w:r>
    </w:p>
    <w:p>
      <w:pPr>
        <w:ind w:firstLine="640" w:firstLineChars="200"/>
        <w:rPr>
          <w:rFonts w:ascii="仿宋" w:hAnsi="仿宋" w:eastAsia="仿宋"/>
          <w:sz w:val="32"/>
          <w:szCs w:val="32"/>
        </w:rPr>
      </w:pPr>
      <w:r>
        <w:rPr>
          <w:rFonts w:eastAsia="仿宋_GB2312"/>
          <w:sz w:val="32"/>
          <w:szCs w:val="32"/>
        </w:rPr>
        <w:t>——</w:t>
      </w:r>
      <w:r>
        <w:rPr>
          <w:rFonts w:hint="eastAsia" w:eastAsia="楷体" w:cs="楷体"/>
          <w:sz w:val="32"/>
          <w:szCs w:val="32"/>
        </w:rPr>
        <w:t>改革引领与普及推广相结合</w:t>
      </w:r>
      <w:r>
        <w:rPr>
          <w:rFonts w:hint="eastAsia" w:eastAsia="仿宋_GB2312" w:cs="仿宋_GB2312"/>
          <w:sz w:val="32"/>
          <w:szCs w:val="32"/>
        </w:rPr>
        <w:t>。</w:t>
      </w:r>
      <w:r>
        <w:rPr>
          <w:rFonts w:hint="eastAsia" w:eastAsia="仿宋_GB2312"/>
          <w:sz w:val="32"/>
          <w:szCs w:val="32"/>
        </w:rPr>
        <w:t>以深化和落实校园足球体制机制改革为突破口，深入剖析杭州校园足球改革发展中存在的矛盾和问题，以创新思维破解校园足球难题，完善校园足球普及管理新机制，</w:t>
      </w:r>
      <w:r>
        <w:rPr>
          <w:rFonts w:eastAsia="仿宋_GB2312"/>
          <w:sz w:val="32"/>
          <w:szCs w:val="32"/>
        </w:rPr>
        <w:t>整合各方面优势资源，</w:t>
      </w:r>
      <w:r>
        <w:rPr>
          <w:rFonts w:hint="eastAsia" w:eastAsia="仿宋_GB2312"/>
          <w:sz w:val="32"/>
          <w:szCs w:val="32"/>
        </w:rPr>
        <w:t>加强</w:t>
      </w:r>
      <w:r>
        <w:rPr>
          <w:rFonts w:eastAsia="仿宋_GB2312"/>
          <w:sz w:val="32"/>
          <w:szCs w:val="32"/>
        </w:rPr>
        <w:t>合作</w:t>
      </w:r>
      <w:r>
        <w:rPr>
          <w:rFonts w:hint="eastAsia" w:eastAsia="仿宋_GB2312"/>
          <w:sz w:val="32"/>
          <w:szCs w:val="32"/>
        </w:rPr>
        <w:t>，</w:t>
      </w:r>
      <w:r>
        <w:rPr>
          <w:rFonts w:eastAsia="仿宋_GB2312"/>
          <w:sz w:val="32"/>
          <w:szCs w:val="32"/>
        </w:rPr>
        <w:t>完善校园足球综合保障体系建设</w:t>
      </w:r>
      <w:r>
        <w:rPr>
          <w:rFonts w:hint="eastAsia" w:eastAsia="仿宋_GB2312"/>
          <w:sz w:val="32"/>
          <w:szCs w:val="32"/>
        </w:rPr>
        <w:t>，</w:t>
      </w:r>
      <w:r>
        <w:rPr>
          <w:rFonts w:eastAsia="仿宋_GB2312"/>
          <w:sz w:val="32"/>
          <w:szCs w:val="32"/>
        </w:rPr>
        <w:t>形成体教协同、政社共谋的校园足球发展新局面。</w:t>
      </w:r>
    </w:p>
    <w:p>
      <w:pPr>
        <w:ind w:firstLine="640" w:firstLineChars="200"/>
        <w:rPr>
          <w:rFonts w:eastAsia="仿宋_GB2312"/>
          <w:sz w:val="32"/>
          <w:szCs w:val="32"/>
        </w:rPr>
      </w:pPr>
      <w:r>
        <w:rPr>
          <w:rFonts w:eastAsia="仿宋_GB2312"/>
          <w:sz w:val="32"/>
          <w:szCs w:val="32"/>
        </w:rPr>
        <w:t>——</w:t>
      </w:r>
      <w:r>
        <w:rPr>
          <w:rFonts w:hint="eastAsia" w:eastAsia="楷体" w:cs="楷体"/>
          <w:sz w:val="32"/>
          <w:szCs w:val="32"/>
        </w:rPr>
        <w:t>政府主导与开放共享相结合</w:t>
      </w:r>
      <w:r>
        <w:rPr>
          <w:rFonts w:hint="eastAsia" w:eastAsia="仿宋_GB2312" w:cs="仿宋_GB2312"/>
          <w:sz w:val="32"/>
          <w:szCs w:val="32"/>
        </w:rPr>
        <w:t>。</w:t>
      </w:r>
      <w:r>
        <w:rPr>
          <w:rFonts w:hint="eastAsia" w:eastAsia="仿宋_GB2312"/>
          <w:sz w:val="32"/>
          <w:szCs w:val="32"/>
        </w:rPr>
        <w:t>以政府为主导、学校为主体，统筹协调校园足球教学、活动、训练、竞赛和等级考核，在校园足球领导小组的指导下，加强部门合作，完善政策支持，整合优质资源，鼓励社会参与，形成全社会参与推动校园足球发展合力。整合各界资源，引导社会力量共同投入校园足球事业发展，拓展校园足球发展领域，促进校园足球事业与校园足球产业协调发展。</w:t>
      </w:r>
    </w:p>
    <w:p>
      <w:pPr>
        <w:ind w:firstLine="640" w:firstLineChars="200"/>
        <w:rPr>
          <w:rFonts w:ascii="仿宋" w:hAnsi="仿宋" w:eastAsia="仿宋"/>
          <w:sz w:val="32"/>
          <w:szCs w:val="32"/>
        </w:rPr>
      </w:pPr>
      <w:r>
        <w:rPr>
          <w:rFonts w:eastAsia="仿宋_GB2312"/>
          <w:sz w:val="32"/>
          <w:szCs w:val="32"/>
        </w:rPr>
        <w:t>——</w:t>
      </w:r>
      <w:r>
        <w:rPr>
          <w:rFonts w:hint="eastAsia" w:eastAsia="楷体" w:cs="楷体"/>
          <w:sz w:val="32"/>
          <w:szCs w:val="32"/>
        </w:rPr>
        <w:t>制度化管理与加强自律相结合</w:t>
      </w:r>
      <w:r>
        <w:rPr>
          <w:rFonts w:hint="eastAsia" w:eastAsia="仿宋_GB2312" w:cs="仿宋_GB2312"/>
          <w:sz w:val="32"/>
          <w:szCs w:val="32"/>
        </w:rPr>
        <w:t>。</w:t>
      </w:r>
      <w:r>
        <w:rPr>
          <w:rFonts w:hint="eastAsia" w:eastAsia="仿宋_GB2312"/>
          <w:sz w:val="32"/>
          <w:szCs w:val="32"/>
        </w:rPr>
        <w:t>把校园足球发展纳入制度化管理轨道，全面提升制度保障建设，创造平等参与、公平竞争的发展环境，加强行业自律，完善公平诚信环境，构建依法、依规、依章的管理运行机制。</w:t>
      </w:r>
    </w:p>
    <w:p>
      <w:pPr>
        <w:spacing w:line="360" w:lineRule="auto"/>
        <w:ind w:firstLine="640" w:firstLineChars="200"/>
        <w:outlineLvl w:val="1"/>
        <w:rPr>
          <w:rFonts w:ascii="楷体_GB2312" w:hAnsi="Calibri" w:eastAsia="楷体_GB2312"/>
          <w:sz w:val="32"/>
          <w:szCs w:val="32"/>
        </w:rPr>
      </w:pPr>
      <w:bookmarkStart w:id="10" w:name="_Toc515646122"/>
      <w:bookmarkStart w:id="11" w:name="_Toc515646369"/>
      <w:r>
        <w:rPr>
          <w:rFonts w:hint="eastAsia" w:ascii="楷体_GB2312" w:hAnsi="Calibri" w:eastAsia="楷体_GB2312" w:cs="楷体_GB2312"/>
          <w:sz w:val="32"/>
          <w:szCs w:val="32"/>
        </w:rPr>
        <w:t>（三）发展目标</w:t>
      </w:r>
      <w:bookmarkEnd w:id="10"/>
      <w:bookmarkEnd w:id="11"/>
    </w:p>
    <w:p>
      <w:pPr>
        <w:ind w:firstLine="640" w:firstLineChars="200"/>
        <w:rPr>
          <w:rFonts w:eastAsia="仿宋_GB2312"/>
          <w:sz w:val="32"/>
          <w:szCs w:val="32"/>
        </w:rPr>
      </w:pPr>
      <w:r>
        <w:rPr>
          <w:rFonts w:hint="eastAsia" w:eastAsia="仿宋_GB2312"/>
          <w:sz w:val="32"/>
          <w:szCs w:val="32"/>
        </w:rPr>
        <w:t>到2025年,我市校园足球水平实现全面提升，初步形成全市中小学积极参与足球发展的浓厚氛围和较为完善、具有杭州特色的校园足球体系，足球场地设施明显改观，足球文化溢满校园，青少年足球人口和后备人才大幅增加，人才培养通道进一步打通，竞技水平明显提升，整体水平达到全国前列。</w:t>
      </w:r>
    </w:p>
    <w:p>
      <w:pPr>
        <w:ind w:firstLine="640" w:firstLineChars="200"/>
        <w:rPr>
          <w:rFonts w:eastAsia="仿宋_GB2312"/>
          <w:sz w:val="32"/>
          <w:szCs w:val="32"/>
        </w:rPr>
      </w:pPr>
      <w:r>
        <w:rPr>
          <w:rFonts w:hint="eastAsia" w:eastAsia="仿宋_GB2312"/>
          <w:sz w:val="32"/>
          <w:szCs w:val="32"/>
        </w:rPr>
        <w:t>（1）培育定点学校，加快特色学校和试点区、县（市）建设。实施校园足球特色学校建设计划，到2025年全市80%的中小学生参与各类校园足球活动，全市各级校园足球特色学校达到学校总数的60%（500所左右），全市各级校园足球特色幼儿园达到幼儿园总数的30%（300所左右），全市共建有市级校园足球青训基地3—6个，各级校园足球试点区、县（市）达到区县市的50%以上（8个左右）。</w:t>
      </w:r>
    </w:p>
    <w:p>
      <w:pPr>
        <w:ind w:firstLine="640" w:firstLineChars="200"/>
        <w:rPr>
          <w:rFonts w:eastAsia="仿宋_GB2312"/>
          <w:sz w:val="32"/>
          <w:szCs w:val="32"/>
        </w:rPr>
      </w:pPr>
      <w:r>
        <w:rPr>
          <w:rFonts w:hint="eastAsia" w:eastAsia="仿宋_GB2312"/>
          <w:sz w:val="32"/>
          <w:szCs w:val="32"/>
        </w:rPr>
        <w:t>（2）提高校园足球活动普及面和学生参与度。到2025年底，全市各级各类学校把足球列入体育课教学内容，推广足球校本课程，推进足球教学模式多样化，加大学时比重，各级足球特色学校组织班级、年级和校级足球联赛，成立精英校队并将课外训练制度常态化。全市80%以上学生均有参与校园足球活动机会，感受足球文化，享受运动快乐。</w:t>
      </w:r>
    </w:p>
    <w:p>
      <w:pPr>
        <w:ind w:firstLine="640" w:firstLineChars="200"/>
        <w:rPr>
          <w:rFonts w:eastAsia="仿宋_GB2312"/>
          <w:sz w:val="32"/>
          <w:szCs w:val="32"/>
        </w:rPr>
      </w:pPr>
      <w:r>
        <w:rPr>
          <w:rFonts w:hint="eastAsia" w:eastAsia="仿宋_GB2312"/>
          <w:sz w:val="32"/>
          <w:szCs w:val="32"/>
        </w:rPr>
        <w:t>（3）进一步完善校园足球联赛机制。市、区（县、市）、校三个层面的竞赛体系和全市小学、初中、高中三级联赛体系稳定运行，“校长杯”“区（县、市）长杯”“市长杯”校园足球联赛及班级联赛、年级联赛、校际邀请赛和“最强阵容”精英联赛、全国校园足球特色学校邀请赛等赛事全年常态化。</w:t>
      </w:r>
    </w:p>
    <w:p>
      <w:pPr>
        <w:ind w:firstLine="640" w:firstLineChars="200"/>
        <w:rPr>
          <w:rFonts w:eastAsia="仿宋_GB2312"/>
          <w:sz w:val="32"/>
          <w:szCs w:val="32"/>
        </w:rPr>
      </w:pPr>
      <w:r>
        <w:rPr>
          <w:rFonts w:hint="eastAsia" w:eastAsia="仿宋_GB2312"/>
          <w:sz w:val="32"/>
          <w:szCs w:val="32"/>
        </w:rPr>
        <w:t>（4）提高校园足球师资整体水平。完善校园足球师资培养方式，实施校园足球教师千人培训计划，启动市级和区、县（市）级二级师资培训行动，到2025年实现校园足球教师全覆盖，各级足球特色学校至少有一名接受培训、资质符合的校园足球专职教师。</w:t>
      </w:r>
    </w:p>
    <w:p>
      <w:pPr>
        <w:ind w:firstLine="640" w:firstLineChars="200"/>
        <w:rPr>
          <w:rFonts w:eastAsia="仿宋_GB2312"/>
          <w:sz w:val="32"/>
          <w:szCs w:val="32"/>
        </w:rPr>
      </w:pPr>
      <w:r>
        <w:rPr>
          <w:rFonts w:hint="eastAsia" w:eastAsia="仿宋_GB2312"/>
          <w:sz w:val="32"/>
          <w:szCs w:val="32"/>
        </w:rPr>
        <w:t>（5）构建青少年校园足球人才培养机制。通过校园足球“精英队”计划，选拔组建市级优秀学生足球代表队，积极开展多种形式的训练、比赛和交流活动，与国内外足球职业俱乐部合作，拓宽校园足球“精英队”学生运动员的发展通道，不断完善校园足球“精英队”学生运动员培养机制，形成青少年校园足球人才梯度培养、多渠道发展的成长模式。</w:t>
      </w:r>
    </w:p>
    <w:p>
      <w:pPr>
        <w:ind w:firstLine="640" w:firstLineChars="200"/>
        <w:rPr>
          <w:rFonts w:eastAsia="仿宋_GB2312"/>
          <w:sz w:val="32"/>
          <w:szCs w:val="32"/>
        </w:rPr>
      </w:pPr>
      <w:r>
        <w:rPr>
          <w:rFonts w:hint="eastAsia" w:eastAsia="仿宋_GB2312"/>
          <w:sz w:val="32"/>
          <w:szCs w:val="32"/>
        </w:rPr>
        <w:t>（6）构建校园足球荣誉体系。进一步调动地方政府、企事业单位和学生、家长、学校及社会各界参与、重视、支持校园足球的积极性。建立和完善校园足球技术技能等级认定体系，进一步打通校园足球人才成长通道，不断完善小学、初中、高中优秀足球运动员升学政策，建立衔接贯通的升学通道。</w:t>
      </w:r>
    </w:p>
    <w:p>
      <w:pPr>
        <w:ind w:firstLine="640" w:firstLineChars="200"/>
        <w:rPr>
          <w:rFonts w:eastAsia="仿宋_GB2312"/>
          <w:sz w:val="32"/>
          <w:szCs w:val="32"/>
        </w:rPr>
      </w:pPr>
      <w:r>
        <w:rPr>
          <w:rFonts w:hint="eastAsia" w:eastAsia="仿宋_GB2312"/>
          <w:sz w:val="32"/>
          <w:szCs w:val="32"/>
        </w:rPr>
        <w:t>（7）健全改善场地设施条件。实施与校外足球场地合作和校内运动场地改造计划，到2025年，各校均有满足开展校园足球活动条件的场地，新建学校均有符合足球比赛标准的场地，各级校园足球特色学校100%有校园足球活动场地。</w:t>
      </w:r>
    </w:p>
    <w:p>
      <w:pPr>
        <w:ind w:firstLine="640" w:firstLineChars="200"/>
        <w:rPr>
          <w:rFonts w:eastAsia="仿宋_GB2312"/>
          <w:sz w:val="32"/>
          <w:szCs w:val="32"/>
        </w:rPr>
      </w:pPr>
      <w:r>
        <w:rPr>
          <w:rFonts w:hint="eastAsia" w:eastAsia="仿宋_GB2312"/>
          <w:sz w:val="32"/>
          <w:szCs w:val="32"/>
        </w:rPr>
        <w:t>（8）加强校园足球赛事活动的安全管理。各类校园足球比赛和活动牢固树立安全第一、防范在前的思想，做好安全防范工作，倡导“阳光体育，快乐足球”的理念，及时查处扰乱比赛秩序的违反体育道德行为，以维护好赛场内外的秩序和安全，保证校园足球活动安全、公平、有序的良好环境。</w:t>
      </w:r>
    </w:p>
    <w:p>
      <w:pPr>
        <w:spacing w:beforeLines="50" w:afterLines="50"/>
        <w:ind w:firstLine="640" w:firstLineChars="200"/>
        <w:outlineLvl w:val="0"/>
        <w:rPr>
          <w:rFonts w:ascii="黑体" w:hAnsi="Calibri" w:eastAsia="黑体"/>
          <w:sz w:val="32"/>
          <w:szCs w:val="32"/>
        </w:rPr>
      </w:pPr>
      <w:bookmarkStart w:id="12" w:name="_Toc515646123"/>
      <w:bookmarkStart w:id="13" w:name="_Toc515646370"/>
      <w:r>
        <w:rPr>
          <w:rFonts w:hint="eastAsia" w:ascii="黑体" w:hAnsi="Calibri" w:eastAsia="黑体" w:cs="黑体"/>
          <w:sz w:val="32"/>
          <w:szCs w:val="32"/>
        </w:rPr>
        <w:t>三、主要任务</w:t>
      </w:r>
      <w:bookmarkEnd w:id="12"/>
      <w:bookmarkEnd w:id="13"/>
    </w:p>
    <w:p>
      <w:pPr>
        <w:pStyle w:val="6"/>
        <w:tabs>
          <w:tab w:val="right" w:leader="dot" w:pos="8296"/>
        </w:tabs>
        <w:adjustRightInd w:val="0"/>
        <w:snapToGrid w:val="0"/>
        <w:spacing w:line="360" w:lineRule="auto"/>
        <w:ind w:left="0" w:leftChars="0" w:firstLine="640"/>
        <w:rPr>
          <w:rFonts w:eastAsia="仿宋_GB2312"/>
          <w:sz w:val="32"/>
          <w:szCs w:val="32"/>
        </w:rPr>
      </w:pPr>
      <w:r>
        <w:rPr>
          <w:rFonts w:hint="eastAsia" w:eastAsia="仿宋_GB2312"/>
          <w:sz w:val="32"/>
          <w:szCs w:val="32"/>
        </w:rPr>
        <w:t>聚焦重点领域，坚持改革创新、问题导向、统筹协调、因地制宜基本原则，夯实校园足球基础，扩大校园足球普及，深化校园足球改革，着力推动杭州校园足球向高水平发展。</w:t>
      </w:r>
    </w:p>
    <w:p>
      <w:pPr>
        <w:spacing w:line="360" w:lineRule="auto"/>
        <w:ind w:firstLine="640" w:firstLineChars="200"/>
        <w:outlineLvl w:val="1"/>
        <w:rPr>
          <w:rFonts w:ascii="楷体_GB2312" w:hAnsi="Calibri" w:eastAsia="楷体_GB2312"/>
          <w:sz w:val="32"/>
          <w:szCs w:val="32"/>
        </w:rPr>
      </w:pPr>
      <w:bookmarkStart w:id="14" w:name="_Toc515646124"/>
      <w:bookmarkStart w:id="15" w:name="_Toc515646371"/>
      <w:r>
        <w:rPr>
          <w:rFonts w:hint="eastAsia" w:ascii="楷体_GB2312" w:hAnsi="Calibri" w:eastAsia="楷体_GB2312" w:cs="楷体_GB2312"/>
          <w:sz w:val="32"/>
          <w:szCs w:val="32"/>
        </w:rPr>
        <w:t>（一）深化足球改革，优化体制机制</w:t>
      </w:r>
      <w:bookmarkEnd w:id="14"/>
      <w:bookmarkEnd w:id="15"/>
    </w:p>
    <w:p>
      <w:pPr>
        <w:ind w:firstLine="640" w:firstLineChars="200"/>
        <w:rPr>
          <w:rFonts w:eastAsia="仿宋_GB2312" w:cs="仿宋_GB2312"/>
          <w:sz w:val="32"/>
          <w:szCs w:val="32"/>
        </w:rPr>
      </w:pPr>
      <w:r>
        <w:rPr>
          <w:rFonts w:hint="eastAsia" w:eastAsia="仿宋_GB2312" w:cs="仿宋_GB2312"/>
          <w:sz w:val="32"/>
          <w:szCs w:val="32"/>
        </w:rPr>
        <w:t>1.完善全市校园足球管理体制。加快构建政府统筹推进、社会广泛参与、运作顺畅高效的管理框架，进一步明确和落实各部门对校园足球发展的职责。由杭州市青少年校园足球工作领导小组对校园足球改革发展进行宏观指导；杭州市教育局、杭州市青少年校园足球领导小组办公室履行好校园足球工作主体责任，全面负责我市校园足球管理和业务指导及校园足球精英梯队建设</w:t>
      </w:r>
      <w:r>
        <w:rPr>
          <w:rFonts w:hint="eastAsia" w:eastAsia="仿宋_GB2312"/>
          <w:sz w:val="32"/>
          <w:szCs w:val="32"/>
        </w:rPr>
        <w:t>、场地建设</w:t>
      </w:r>
      <w:r>
        <w:rPr>
          <w:rFonts w:hint="eastAsia" w:eastAsia="仿宋_GB2312" w:cs="仿宋_GB2312"/>
          <w:sz w:val="32"/>
          <w:szCs w:val="32"/>
        </w:rPr>
        <w:t>；市培管中心负责统筹管理杭州市棋类共建学校，同步开展杭州市青少年校园足球特色学校培育、普及、监督、管理工作，同时对棋类、足球青训机构进行规范性指导，牵头组织开展杭州市校园足球技术技能等级考核。借鉴兄弟省市校园足球发展成功管理经验，由杭州市教育局作为业务主管单位，以市培管中心为班底，组建成立杭州市校园足球协会，具体负责我市校园足球赛事活动、师资培训、技术技能等级考核、精英梯队建设和人才培养等具体项目的组织实施。各区、县（市）校足办负责统一组织、管理和指导区域内校园足球发展，进一步完善组织架构，配备专职工作人员，推进校园足球活动普及和提高。其他相关职能部门各司其职、协调配合，合力推动全市校园足球发展，充分激发校园足球新活力，大力调动社会力量参与校园足球发展的积极性，促进校园足球相关要素资源优化配置。</w:t>
      </w:r>
    </w:p>
    <w:p>
      <w:pPr>
        <w:ind w:firstLine="640" w:firstLineChars="200"/>
        <w:rPr>
          <w:rFonts w:eastAsia="仿宋_GB2312" w:cs="仿宋_GB2312"/>
          <w:sz w:val="32"/>
          <w:szCs w:val="32"/>
        </w:rPr>
      </w:pPr>
      <w:r>
        <w:rPr>
          <w:rFonts w:hint="eastAsia" w:eastAsia="仿宋_GB2312" w:cs="仿宋_GB2312"/>
          <w:sz w:val="32"/>
          <w:szCs w:val="32"/>
        </w:rPr>
        <w:t>2.</w:t>
      </w:r>
      <w:r>
        <w:rPr>
          <w:rFonts w:eastAsia="仿宋_GB2312" w:cs="仿宋_GB2312"/>
          <w:sz w:val="32"/>
          <w:szCs w:val="32"/>
        </w:rPr>
        <w:t>深化足球教学改革</w:t>
      </w:r>
      <w:r>
        <w:rPr>
          <w:rFonts w:hint="eastAsia" w:eastAsia="仿宋_GB2312" w:cs="仿宋_GB2312"/>
          <w:sz w:val="32"/>
          <w:szCs w:val="32"/>
        </w:rPr>
        <w:t>。</w:t>
      </w:r>
      <w:r>
        <w:rPr>
          <w:rFonts w:eastAsia="仿宋_GB2312" w:cs="仿宋_GB2312"/>
          <w:sz w:val="32"/>
          <w:szCs w:val="32"/>
        </w:rPr>
        <w:t>各级各类学校要把足球列入体育课教学内容，积极推进足球教学模式的多样化。鼓励有条件的学校开展以足球为特色的</w:t>
      </w:r>
      <w:r>
        <w:rPr>
          <w:rFonts w:hint="eastAsia" w:eastAsia="仿宋_GB2312" w:cs="仿宋_GB2312"/>
          <w:sz w:val="32"/>
          <w:szCs w:val="32"/>
        </w:rPr>
        <w:t>“</w:t>
      </w:r>
      <w:r>
        <w:rPr>
          <w:rFonts w:eastAsia="仿宋_GB2312" w:cs="仿宋_GB2312"/>
          <w:sz w:val="32"/>
          <w:szCs w:val="32"/>
        </w:rPr>
        <w:t>一校一品</w:t>
      </w:r>
      <w:r>
        <w:rPr>
          <w:rFonts w:hint="eastAsia" w:eastAsia="仿宋_GB2312" w:cs="仿宋_GB2312"/>
          <w:sz w:val="32"/>
          <w:szCs w:val="32"/>
        </w:rPr>
        <w:t>”</w:t>
      </w:r>
      <w:r>
        <w:rPr>
          <w:rFonts w:eastAsia="仿宋_GB2312" w:cs="仿宋_GB2312"/>
          <w:sz w:val="32"/>
          <w:szCs w:val="32"/>
        </w:rPr>
        <w:t>体育教学改革。足球特色学校可适当加大学时比重，每周至少安排一节足球课，不断提高教学质量。要科学统筹足球教学与其他学科教学，在课时分配、教师配备、教学管理、绩效评价等方面为足球教学改革创造良好条件。发布青少年校园足球教学指南、学生足球运动技能等级标准，规范指导校园足球教学。建设全国青少年校园足球教学资源库，鼓励各地各校因地制宜采取多种方式开发共享高质量的足球教学资源，逐步实现优质足球教学资源全覆盖。依托有条件的单位建立校园足球运动研究基地，加强理论与实践研究，提升校园足球运动发展的科学化水平。</w:t>
      </w:r>
    </w:p>
    <w:p>
      <w:pPr>
        <w:ind w:firstLine="640" w:firstLineChars="200"/>
        <w:rPr>
          <w:rFonts w:eastAsia="仿宋_GB2312" w:cs="仿宋_GB2312"/>
          <w:sz w:val="32"/>
          <w:szCs w:val="32"/>
        </w:rPr>
      </w:pPr>
      <w:r>
        <w:rPr>
          <w:rFonts w:hint="eastAsia" w:eastAsia="仿宋_GB2312" w:cs="仿宋_GB2312"/>
          <w:sz w:val="32"/>
          <w:szCs w:val="32"/>
        </w:rPr>
        <w:t>3.</w:t>
      </w:r>
      <w:r>
        <w:rPr>
          <w:rFonts w:eastAsia="仿宋_GB2312" w:cs="仿宋_GB2312"/>
          <w:sz w:val="32"/>
          <w:szCs w:val="32"/>
        </w:rPr>
        <w:t>完善校园足球竞赛体系</w:t>
      </w:r>
      <w:r>
        <w:rPr>
          <w:rFonts w:hint="eastAsia" w:eastAsia="仿宋_GB2312" w:cs="仿宋_GB2312"/>
          <w:sz w:val="32"/>
          <w:szCs w:val="32"/>
        </w:rPr>
        <w:t>。</w:t>
      </w:r>
      <w:r>
        <w:rPr>
          <w:rFonts w:eastAsia="仿宋_GB2312" w:cs="仿宋_GB2312"/>
          <w:sz w:val="32"/>
          <w:szCs w:val="32"/>
        </w:rPr>
        <w:t>开展丰富多样的赛事。各地各校要广泛开展多样化的足球竞赛活动，形成</w:t>
      </w:r>
      <w:r>
        <w:rPr>
          <w:rFonts w:hint="eastAsia" w:eastAsia="仿宋_GB2312" w:cs="仿宋_GB2312"/>
          <w:sz w:val="32"/>
          <w:szCs w:val="32"/>
        </w:rPr>
        <w:t>“</w:t>
      </w:r>
      <w:r>
        <w:rPr>
          <w:rFonts w:eastAsia="仿宋_GB2312" w:cs="仿宋_GB2312"/>
          <w:sz w:val="32"/>
          <w:szCs w:val="32"/>
        </w:rPr>
        <w:t>校校参与、层层选拔、全国联赛</w:t>
      </w:r>
      <w:r>
        <w:rPr>
          <w:rFonts w:hint="eastAsia" w:eastAsia="仿宋_GB2312" w:cs="仿宋_GB2312"/>
          <w:sz w:val="32"/>
          <w:szCs w:val="32"/>
        </w:rPr>
        <w:t>”</w:t>
      </w:r>
      <w:r>
        <w:rPr>
          <w:rFonts w:eastAsia="仿宋_GB2312" w:cs="仿宋_GB2312"/>
          <w:sz w:val="32"/>
          <w:szCs w:val="32"/>
        </w:rPr>
        <w:t>的足球竞赛格局。要组织</w:t>
      </w:r>
      <w:r>
        <w:rPr>
          <w:rFonts w:hint="eastAsia" w:eastAsia="仿宋_GB2312" w:cs="仿宋_GB2312"/>
          <w:sz w:val="32"/>
          <w:szCs w:val="32"/>
        </w:rPr>
        <w:t>幼儿园</w:t>
      </w:r>
      <w:r>
        <w:rPr>
          <w:rFonts w:eastAsia="仿宋_GB2312" w:cs="仿宋_GB2312"/>
          <w:sz w:val="32"/>
          <w:szCs w:val="32"/>
        </w:rPr>
        <w:t>参加趣味性足球活动</w:t>
      </w:r>
      <w:r>
        <w:rPr>
          <w:rFonts w:hint="eastAsia" w:eastAsia="仿宋_GB2312" w:cs="仿宋_GB2312"/>
          <w:sz w:val="32"/>
          <w:szCs w:val="32"/>
        </w:rPr>
        <w:t>；</w:t>
      </w:r>
      <w:r>
        <w:rPr>
          <w:rFonts w:eastAsia="仿宋_GB2312" w:cs="仿宋_GB2312"/>
          <w:sz w:val="32"/>
          <w:szCs w:val="32"/>
        </w:rPr>
        <w:t>小学</w:t>
      </w:r>
      <w:r>
        <w:rPr>
          <w:rFonts w:hint="eastAsia" w:eastAsia="仿宋_GB2312" w:cs="仿宋_GB2312"/>
          <w:sz w:val="32"/>
          <w:szCs w:val="32"/>
        </w:rPr>
        <w:t>、</w:t>
      </w:r>
      <w:r>
        <w:rPr>
          <w:rFonts w:eastAsia="仿宋_GB2312" w:cs="仿宋_GB2312"/>
          <w:sz w:val="32"/>
          <w:szCs w:val="32"/>
        </w:rPr>
        <w:t>初</w:t>
      </w:r>
      <w:r>
        <w:rPr>
          <w:rFonts w:hint="eastAsia" w:eastAsia="仿宋_GB2312" w:cs="仿宋_GB2312"/>
          <w:sz w:val="32"/>
          <w:szCs w:val="32"/>
        </w:rPr>
        <w:t>中</w:t>
      </w:r>
      <w:r>
        <w:rPr>
          <w:rFonts w:eastAsia="仿宋_GB2312" w:cs="仿宋_GB2312"/>
          <w:sz w:val="32"/>
          <w:szCs w:val="32"/>
        </w:rPr>
        <w:t>、高中学校，要组织班级、年级联赛，开展校际邀请赛、对抗赛等竞赛交流活动</w:t>
      </w:r>
      <w:r>
        <w:rPr>
          <w:rFonts w:hint="eastAsia" w:eastAsia="仿宋_GB2312" w:cs="仿宋_GB2312"/>
          <w:sz w:val="32"/>
          <w:szCs w:val="32"/>
        </w:rPr>
        <w:t>；</w:t>
      </w:r>
      <w:r>
        <w:rPr>
          <w:rFonts w:eastAsia="仿宋_GB2312" w:cs="仿宋_GB2312"/>
          <w:sz w:val="32"/>
          <w:szCs w:val="32"/>
        </w:rPr>
        <w:t>高等学校组织开展院系学生足球联赛和校际交流活动等。鼓励学校参加社会组织举办的足球赛事和公益活动，加强与国际组织和专业机构的交流合作，组织或参与国际青少年足球赛事活动。</w:t>
      </w:r>
    </w:p>
    <w:p>
      <w:pPr>
        <w:ind w:firstLine="640" w:firstLineChars="200"/>
        <w:rPr>
          <w:rFonts w:eastAsia="仿宋_GB2312" w:cs="仿宋_GB2312"/>
          <w:sz w:val="32"/>
          <w:szCs w:val="32"/>
        </w:rPr>
      </w:pPr>
      <w:r>
        <w:rPr>
          <w:rFonts w:eastAsia="仿宋_GB2312" w:cs="仿宋_GB2312"/>
          <w:sz w:val="32"/>
          <w:szCs w:val="32"/>
        </w:rPr>
        <w:t>形成稳定规范的赛制。规范竞赛管理，构建包括校内竞赛、校际联赛、区域选拔</w:t>
      </w:r>
      <w:r>
        <w:rPr>
          <w:rFonts w:hint="eastAsia" w:eastAsia="仿宋_GB2312" w:cs="仿宋_GB2312"/>
          <w:sz w:val="32"/>
          <w:szCs w:val="32"/>
        </w:rPr>
        <w:t>赛、全国邀请赛</w:t>
      </w:r>
      <w:r>
        <w:rPr>
          <w:rFonts w:eastAsia="仿宋_GB2312" w:cs="仿宋_GB2312"/>
          <w:sz w:val="32"/>
          <w:szCs w:val="32"/>
        </w:rPr>
        <w:t>在内的青少年校园足球竞赛体系。建成纵向贯通、横向衔接和规范有序的高校、高中、初中、小学四级青少年校园足球联赛机制。实行赛事分级管理，建立县级、地市级、省级和国家级青少年校园足球竞赛制度。高校足球竞赛成绩要纳入高校体育工作考核评价体系。各地教育部门要按照全国青少年校园足球竞赛方案，依托</w:t>
      </w:r>
      <w:r>
        <w:rPr>
          <w:rFonts w:hint="eastAsia" w:eastAsia="仿宋_GB2312" w:cs="仿宋_GB2312"/>
          <w:sz w:val="32"/>
          <w:szCs w:val="32"/>
        </w:rPr>
        <w:t>管理单位、</w:t>
      </w:r>
      <w:r>
        <w:rPr>
          <w:rFonts w:eastAsia="仿宋_GB2312" w:cs="仿宋_GB2312"/>
          <w:sz w:val="32"/>
          <w:szCs w:val="32"/>
        </w:rPr>
        <w:t>行业组织、专业机构或社团等分级组织实施本地竞赛活动。注重校园足球赛事与职业联赛、区域等级赛事、青少年等级赛事的有机衔接。</w:t>
      </w:r>
    </w:p>
    <w:p>
      <w:pPr>
        <w:ind w:firstLine="640" w:firstLineChars="200"/>
        <w:rPr>
          <w:rFonts w:eastAsia="仿宋_GB2312" w:cs="仿宋_GB2312"/>
          <w:sz w:val="32"/>
          <w:szCs w:val="32"/>
        </w:rPr>
      </w:pPr>
      <w:r>
        <w:rPr>
          <w:rFonts w:eastAsia="仿宋_GB2312" w:cs="仿宋_GB2312"/>
          <w:sz w:val="32"/>
          <w:szCs w:val="32"/>
        </w:rPr>
        <w:t>维护公正严明的赛纪。完善竞赛监督制度，使足球成为青少年学生体验、适应社会规则和道德规范的有效途径。提倡公平竞赛，安全竞赛，文明竞赛，完善裁判员公正执法、教练员和运动员严守赛风赛纪的约束机制。规范青少年观赛行为，引导他们遵纪守法、文明观赛，形成良好的青少年校园足球竞赛风气。</w:t>
      </w:r>
    </w:p>
    <w:p>
      <w:pPr>
        <w:spacing w:line="360" w:lineRule="auto"/>
        <w:ind w:firstLine="640" w:firstLineChars="200"/>
        <w:outlineLvl w:val="1"/>
        <w:rPr>
          <w:rFonts w:ascii="楷体_GB2312" w:hAnsi="Calibri" w:eastAsia="楷体_GB2312"/>
          <w:sz w:val="32"/>
          <w:szCs w:val="32"/>
        </w:rPr>
      </w:pPr>
      <w:bookmarkStart w:id="16" w:name="_Toc515646125"/>
      <w:bookmarkStart w:id="17" w:name="_Toc515646372"/>
      <w:r>
        <w:rPr>
          <w:rFonts w:hint="eastAsia" w:ascii="楷体_GB2312" w:hAnsi="Calibri" w:eastAsia="楷体_GB2312" w:cs="楷体_GB2312"/>
          <w:sz w:val="32"/>
          <w:szCs w:val="32"/>
        </w:rPr>
        <w:t>（二）</w:t>
      </w:r>
      <w:r>
        <w:rPr>
          <w:rFonts w:ascii="楷体_GB2312" w:hAnsi="Calibri" w:eastAsia="楷体_GB2312" w:cs="楷体_GB2312"/>
          <w:sz w:val="32"/>
          <w:szCs w:val="32"/>
        </w:rPr>
        <w:t>政府引导</w:t>
      </w:r>
      <w:r>
        <w:rPr>
          <w:rFonts w:hint="eastAsia" w:ascii="楷体_GB2312" w:hAnsi="Calibri" w:eastAsia="楷体_GB2312" w:cs="楷体_GB2312"/>
          <w:sz w:val="32"/>
          <w:szCs w:val="32"/>
        </w:rPr>
        <w:t>、社会参与，提高校园足球整体水平</w:t>
      </w:r>
      <w:bookmarkEnd w:id="16"/>
      <w:bookmarkEnd w:id="17"/>
    </w:p>
    <w:p>
      <w:pPr>
        <w:ind w:firstLine="640" w:firstLineChars="200"/>
        <w:rPr>
          <w:rFonts w:eastAsia="仿宋_GB2312" w:cs="仿宋_GB2312"/>
          <w:sz w:val="32"/>
          <w:szCs w:val="32"/>
        </w:rPr>
      </w:pPr>
      <w:r>
        <w:rPr>
          <w:rFonts w:hint="eastAsia" w:eastAsia="仿宋_GB2312" w:cs="仿宋_GB2312"/>
          <w:sz w:val="32"/>
          <w:szCs w:val="32"/>
        </w:rPr>
        <w:t>1.促进社会足球青训机构（俱乐部）规范发展</w:t>
      </w:r>
    </w:p>
    <w:p>
      <w:pPr>
        <w:ind w:firstLine="640" w:firstLineChars="200"/>
        <w:rPr>
          <w:rFonts w:eastAsia="仿宋_GB2312" w:cs="仿宋_GB2312"/>
          <w:sz w:val="32"/>
          <w:szCs w:val="32"/>
        </w:rPr>
      </w:pPr>
      <w:r>
        <w:rPr>
          <w:rFonts w:hint="eastAsia" w:eastAsia="仿宋_GB2312" w:cs="仿宋_GB2312"/>
          <w:sz w:val="32"/>
          <w:szCs w:val="32"/>
        </w:rPr>
        <w:t>鼓励政府、企业、社会组织和个人投资参与，发起组建股份制社会足球青训机构（俱乐部）。推动俱乐部名称的非企业化，鼓励使用城市中性名称，促进俱乐部扎根杭州，向地域化、稳定化、产业化方向发展，打造足球“百年老店”。</w:t>
      </w:r>
    </w:p>
    <w:p>
      <w:pPr>
        <w:ind w:firstLine="640" w:firstLineChars="200"/>
        <w:rPr>
          <w:rFonts w:eastAsia="仿宋_GB2312" w:cs="仿宋_GB2312"/>
          <w:sz w:val="32"/>
          <w:szCs w:val="32"/>
        </w:rPr>
      </w:pPr>
      <w:r>
        <w:rPr>
          <w:rFonts w:hint="eastAsia" w:eastAsia="仿宋_GB2312" w:cs="仿宋_GB2312"/>
          <w:sz w:val="32"/>
          <w:szCs w:val="32"/>
        </w:rPr>
        <w:t>2.完善社会足球青训机构（俱乐部）校园准入机制</w:t>
      </w:r>
    </w:p>
    <w:p>
      <w:pPr>
        <w:ind w:firstLine="640" w:firstLineChars="200"/>
        <w:rPr>
          <w:rFonts w:eastAsia="仿宋_GB2312" w:cs="仿宋_GB2312"/>
          <w:sz w:val="32"/>
          <w:szCs w:val="32"/>
        </w:rPr>
      </w:pPr>
      <w:r>
        <w:rPr>
          <w:rFonts w:hint="eastAsia" w:eastAsia="仿宋_GB2312" w:cs="仿宋_GB2312"/>
          <w:sz w:val="32"/>
          <w:szCs w:val="32"/>
        </w:rPr>
        <w:t>由市培管中心负责，全面组织开展全市社会足球青训机构进校园优选认定工作，引导规范社会力量服务支持青少年校园足球活动的有序开展，全面管理和督导具备合法资质的优秀社会专业机构进入我市幼儿园、中小学执教、训练，组织开展校园足球赛事活动。通过优选认定，进一步促进社会足球青训机构在全市各校园执教、研学（冬夏令营）、办赛、师训、技术技能等级考核等活动的有序规范开展，建立社会足球青训机构进校园服务准入体系；鼓励社会力量参与青少年校园足球的普及和发展，培养青少年的足球爱好, 进一步做大青少年足球人口;不断提升社会足球青训机构服务校园足球的水平和质量, 提升外聘教练员的教学育人能力, 促进全市校园足球活动的健康持续发展。</w:t>
      </w:r>
    </w:p>
    <w:p>
      <w:pPr>
        <w:spacing w:line="360" w:lineRule="auto"/>
        <w:ind w:firstLine="640" w:firstLineChars="200"/>
        <w:outlineLvl w:val="1"/>
        <w:rPr>
          <w:rFonts w:ascii="楷体_GB2312" w:hAnsi="Calibri" w:eastAsia="楷体_GB2312"/>
          <w:sz w:val="32"/>
          <w:szCs w:val="32"/>
        </w:rPr>
      </w:pPr>
      <w:bookmarkStart w:id="18" w:name="_Toc515646373"/>
      <w:bookmarkStart w:id="19" w:name="_Toc515646126"/>
      <w:r>
        <w:rPr>
          <w:rFonts w:hint="eastAsia" w:ascii="楷体_GB2312" w:hAnsi="Calibri" w:eastAsia="楷体_GB2312" w:cs="楷体_GB2312"/>
          <w:sz w:val="32"/>
          <w:szCs w:val="32"/>
        </w:rPr>
        <w:t>（三）重视校园足球，建设后备队伍</w:t>
      </w:r>
      <w:bookmarkEnd w:id="18"/>
      <w:bookmarkEnd w:id="19"/>
    </w:p>
    <w:p>
      <w:pPr>
        <w:ind w:firstLine="640" w:firstLineChars="200"/>
        <w:rPr>
          <w:rFonts w:ascii="仿宋" w:hAnsi="仿宋" w:eastAsia="仿宋" w:cs="仿宋"/>
          <w:sz w:val="32"/>
          <w:szCs w:val="32"/>
        </w:rPr>
      </w:pPr>
      <w:r>
        <w:rPr>
          <w:rFonts w:hint="eastAsia" w:eastAsia="仿宋_GB2312" w:cs="仿宋_GB2312"/>
          <w:sz w:val="32"/>
          <w:szCs w:val="32"/>
        </w:rPr>
        <w:t>1.推动校园足球普及。</w:t>
      </w:r>
      <w:r>
        <w:rPr>
          <w:rFonts w:hint="eastAsia" w:ascii="仿宋" w:hAnsi="仿宋" w:eastAsia="仿宋" w:cs="仿宋"/>
          <w:sz w:val="32"/>
          <w:szCs w:val="32"/>
        </w:rPr>
        <w:t>大力推进校园足球特色学校建设，积极创建市级校园足球青训基地和校园足球试</w:t>
      </w:r>
      <w:r>
        <w:rPr>
          <w:rFonts w:hint="eastAsia" w:eastAsia="仿宋_GB2312" w:cs="仿宋_GB2312"/>
          <w:sz w:val="32"/>
          <w:szCs w:val="32"/>
        </w:rPr>
        <w:t>点区（县、市），鼓励发展青少年足球后备人才示范学校。到</w:t>
      </w:r>
      <w:r>
        <w:rPr>
          <w:rFonts w:eastAsia="仿宋_GB2312" w:cs="仿宋_GB2312"/>
          <w:sz w:val="32"/>
          <w:szCs w:val="32"/>
        </w:rPr>
        <w:t>20</w:t>
      </w:r>
      <w:r>
        <w:rPr>
          <w:rFonts w:hint="eastAsia" w:eastAsia="仿宋_GB2312" w:cs="仿宋_GB2312"/>
          <w:sz w:val="32"/>
          <w:szCs w:val="32"/>
        </w:rPr>
        <w:t>25年，力争全市一半以上的区、县（市）均发展为有特色的校园足球试点区，各级校园足球特色学校和特色幼儿园达到8</w:t>
      </w:r>
      <w:r>
        <w:rPr>
          <w:rFonts w:eastAsia="仿宋_GB2312" w:cs="仿宋_GB2312"/>
          <w:sz w:val="32"/>
          <w:szCs w:val="32"/>
        </w:rPr>
        <w:t>00</w:t>
      </w:r>
      <w:r>
        <w:rPr>
          <w:rFonts w:hint="eastAsia" w:eastAsia="仿宋_GB2312" w:cs="仿宋_GB2312"/>
          <w:sz w:val="32"/>
          <w:szCs w:val="32"/>
        </w:rPr>
        <w:t>所以上，实现班班有球队、有联赛，经常参加足球运动学生人数占9</w:t>
      </w:r>
      <w:r>
        <w:rPr>
          <w:rFonts w:eastAsia="仿宋_GB2312" w:cs="仿宋_GB2312"/>
          <w:sz w:val="32"/>
          <w:szCs w:val="32"/>
        </w:rPr>
        <w:t>0%</w:t>
      </w:r>
      <w:r>
        <w:rPr>
          <w:rFonts w:hint="eastAsia" w:eastAsia="仿宋_GB2312" w:cs="仿宋_GB2312"/>
          <w:sz w:val="32"/>
          <w:szCs w:val="32"/>
        </w:rPr>
        <w:t>以上。积极打造</w:t>
      </w:r>
      <w:r>
        <w:rPr>
          <w:rFonts w:hint="eastAsia" w:ascii="仿宋" w:hAnsi="仿宋" w:eastAsia="仿宋" w:cs="仿宋"/>
          <w:sz w:val="32"/>
          <w:szCs w:val="32"/>
        </w:rPr>
        <w:t>市级校园足球青训基地和校园足球第二课堂基地，</w:t>
      </w:r>
      <w:r>
        <w:rPr>
          <w:rFonts w:hint="eastAsia" w:eastAsia="仿宋_GB2312" w:cs="仿宋_GB2312"/>
          <w:sz w:val="32"/>
          <w:szCs w:val="32"/>
        </w:rPr>
        <w:t>鼓励15年连贯制学校创建样板式的</w:t>
      </w:r>
      <w:r>
        <w:rPr>
          <w:rFonts w:hint="eastAsia" w:ascii="仿宋" w:hAnsi="仿宋" w:eastAsia="仿宋" w:cs="仿宋"/>
          <w:sz w:val="32"/>
          <w:szCs w:val="32"/>
        </w:rPr>
        <w:t>高质量校园足球青训基地。</w:t>
      </w:r>
      <w:r>
        <w:rPr>
          <w:rFonts w:hint="eastAsia" w:eastAsia="仿宋_GB2312" w:cs="仿宋_GB2312"/>
          <w:sz w:val="32"/>
          <w:szCs w:val="32"/>
        </w:rPr>
        <w:t>积极推动校园足球向农村、市域西部县市辐射，鼓励农村学生广泛参与足球运动，促进校园足球均衡发展。积极开展多种形式校园足球活动，全面增强学生体质和意志品质，加快普及足球文化、足球知识和</w:t>
      </w:r>
      <w:r>
        <w:rPr>
          <w:rFonts w:hint="eastAsia" w:ascii="仿宋" w:hAnsi="仿宋" w:eastAsia="仿宋" w:cs="仿宋"/>
          <w:sz w:val="32"/>
          <w:szCs w:val="32"/>
        </w:rPr>
        <w:t>技能，培养足球兴趣爱好。</w:t>
      </w:r>
    </w:p>
    <w:p>
      <w:pPr>
        <w:ind w:firstLine="640" w:firstLineChars="200"/>
        <w:rPr>
          <w:rFonts w:eastAsia="仿宋_GB2312" w:cs="仿宋_GB2312"/>
          <w:sz w:val="32"/>
          <w:szCs w:val="32"/>
        </w:rPr>
      </w:pPr>
      <w:r>
        <w:rPr>
          <w:rFonts w:hint="eastAsia" w:eastAsia="仿宋_GB2312" w:cs="仿宋_GB2312"/>
          <w:sz w:val="32"/>
          <w:szCs w:val="32"/>
        </w:rPr>
        <w:t>2.开展校园足球特色教学。深化教育和足球改革，把足球列入各级各类学校的体育课教学内容，保证适当学时，建立内容丰富、形式多样、因材施教的校园足球教学体系。发展足球社团，培养足球兴趣，开展足球竞赛、文化节等活动，推进足球教学模式多样化。根据体育与健康课程标准，引进或组织编写适用的足球教材，强化中小学校足球教学，力争全市高校足球选修课开设率达到</w:t>
      </w:r>
      <w:r>
        <w:rPr>
          <w:rFonts w:eastAsia="仿宋_GB2312" w:cs="仿宋_GB2312"/>
          <w:sz w:val="32"/>
          <w:szCs w:val="32"/>
        </w:rPr>
        <w:t>90%</w:t>
      </w:r>
      <w:r>
        <w:rPr>
          <w:rFonts w:hint="eastAsia" w:eastAsia="仿宋_GB2312" w:cs="仿宋_GB2312"/>
          <w:sz w:val="32"/>
          <w:szCs w:val="32"/>
        </w:rPr>
        <w:t>。鼓励有兴趣的学生参加校园足球技术技能等级考核。发挥足球育人功能，有序推动把足球学习情况纳入学生综合素质评价档案。</w:t>
      </w:r>
    </w:p>
    <w:p>
      <w:pPr>
        <w:pStyle w:val="7"/>
        <w:spacing w:before="0" w:beforeAutospacing="0" w:after="0" w:afterAutospacing="0" w:line="480" w:lineRule="atLeas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ascii="Times New Roman" w:hAnsi="Times New Roman" w:eastAsia="仿宋_GB2312" w:cs="仿宋_GB2312"/>
          <w:sz w:val="32"/>
          <w:szCs w:val="32"/>
        </w:rPr>
        <w:t>加强足球课外锻炼训练</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要把足球运动作为学校大课间和课外活动内容，鼓励引导广大学生</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走下网络、走出宿舍、走向操场</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，积极参加校外足球运动。有条件的学校要建立班级、年级和校级足球队。鼓励组建女子足球队。妥善处理好学生足球训练和文化学习之间的关系。教育部门会同</w:t>
      </w:r>
      <w:r>
        <w:rPr>
          <w:rFonts w:hint="eastAsia" w:ascii="Times New Roman" w:hAnsi="Times New Roman" w:eastAsia="仿宋_GB2312" w:cs="仿宋_GB2312"/>
          <w:sz w:val="32"/>
          <w:szCs w:val="32"/>
        </w:rPr>
        <w:t>市培管中心、</w:t>
      </w:r>
      <w:r>
        <w:rPr>
          <w:rFonts w:ascii="Times New Roman" w:hAnsi="Times New Roman" w:eastAsia="仿宋_GB2312" w:cs="仿宋_GB2312"/>
          <w:sz w:val="32"/>
          <w:szCs w:val="32"/>
        </w:rPr>
        <w:t>体育等部门指导学校制定科学的校园足球训练计划，合理组织校园足球课余训练，为喜欢足球和有足球潜能的学生提供学习和训练机会。</w:t>
      </w:r>
    </w:p>
    <w:p>
      <w:pPr>
        <w:pStyle w:val="7"/>
        <w:spacing w:before="0" w:beforeAutospacing="0" w:after="0" w:afterAutospacing="0" w:line="480" w:lineRule="atLeast"/>
        <w:ind w:firstLine="640"/>
        <w:rPr>
          <w:rFonts w:ascii="Times New Roman" w:hAnsi="Times New Roman" w:eastAsia="仿宋_GB2312" w:cs="Times New Roman"/>
          <w:sz w:val="32"/>
          <w:szCs w:val="32"/>
        </w:rPr>
      </w:pPr>
      <w:r>
        <w:rPr>
          <w:rFonts w:hint="eastAsia" w:eastAsia="仿宋_GB2312" w:cs="仿宋_GB2312"/>
          <w:sz w:val="32"/>
          <w:szCs w:val="32"/>
        </w:rPr>
        <w:t>4.健全青少年足球训练和竞赛体系。</w:t>
      </w:r>
      <w:r>
        <w:rPr>
          <w:rFonts w:hint="eastAsia" w:ascii="Times New Roman" w:hAnsi="Times New Roman" w:eastAsia="仿宋_GB2312" w:cs="仿宋_GB2312"/>
          <w:sz w:val="32"/>
          <w:szCs w:val="32"/>
        </w:rPr>
        <w:t>深化全市体教结合工作，加快完善青少年足球训练和竞赛体系，推动建立区、县（市）全覆盖的各个年龄段的校园足球训练营。持续完善全市校园足球小学、初中、高中的三级联赛，市、区、县（市）、校三个层面的竞赛体系，支持有条件的区、县（市）建</w:t>
      </w:r>
      <w:r>
        <w:rPr>
          <w:rFonts w:hint="eastAsia" w:ascii="Times New Roman" w:hAnsi="Times New Roman" w:eastAsia="仿宋_GB2312" w:cs="Times New Roman"/>
          <w:sz w:val="32"/>
          <w:szCs w:val="32"/>
        </w:rPr>
        <w:t>立区级校园足球联赛体系。重点推动校园足球特色学校举办校内班级、年级比赛。组织幼儿园学生参加趣味性足球活动，组织小学、初高中以上的班级、年级进行联赛、校际邀请赛、对抗赛等竞赛交流活动。每年邀请全国各兄弟城市校园足球特色学校代表队，举办一场高规格的全国校园足球特色学校邀请赛。同时鼓励各区、县（市）组建最佳阵营，建立选拔竞赛制度，积极探索校园足球赛事与职业联赛、全国及区域青少年等级赛事、校园足球技术技能等级考核的有效衔接。</w:t>
      </w:r>
    </w:p>
    <w:p>
      <w:pPr>
        <w:pStyle w:val="7"/>
        <w:spacing w:before="0" w:beforeAutospacing="0" w:after="0" w:afterAutospacing="0" w:line="480" w:lineRule="atLeas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5.完善青少年校园足球人才培养机制。加快构建校园足球特色学校、</w:t>
      </w:r>
      <w:r>
        <w:rPr>
          <w:rFonts w:hint="eastAsia" w:ascii="仿宋_GB2312" w:hAnsi="仿宋" w:eastAsia="仿宋_GB2312" w:cs="仿宋"/>
          <w:sz w:val="32"/>
          <w:szCs w:val="32"/>
        </w:rPr>
        <w:t>市级校园足球精英队</w:t>
      </w:r>
      <w:r>
        <w:rPr>
          <w:rFonts w:hint="eastAsia" w:ascii="Times New Roman" w:hAnsi="Times New Roman" w:eastAsia="仿宋_GB2312" w:cs="Times New Roman"/>
          <w:sz w:val="32"/>
          <w:szCs w:val="32"/>
        </w:rPr>
        <w:t>与市级校园足球青训基地相结合的新型足球人才培养模式，与体育部门形成合力，推进教体融合、市队联办。支持各区、县（市）、校园足球特色学校（幼儿园）与“杭州市校园足球青训机构名录”内社会足球青训机构（俱乐部）全面合作，构建青少年校园足球人才梯度培养、多渠道发展的成长模式。加强青少年校园足球师资队伍建设，成立校园足球高级讲师团，积极培育本土高水平青少年校园足球指导员与精英教练员。拓宽青少年校园足球人才引进渠道，扩大服务青少年校园足球从业者人数，建立兼职足球教师制度，鼓励优秀足球教练、退役运动员到学校兼职。落实学校足球教师配备，足球特色学校应至少配备</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名专职足球教师。开展学校体育教师、校园足球指导员、教练员、裁判员和管理人员专题培训，并颁发相应资格证书。</w:t>
      </w:r>
    </w:p>
    <w:p>
      <w:pPr>
        <w:pStyle w:val="7"/>
        <w:spacing w:before="0" w:beforeAutospacing="0" w:after="0" w:afterAutospacing="0" w:line="480" w:lineRule="atLeast"/>
        <w:ind w:firstLine="640"/>
        <w:rPr>
          <w:rFonts w:ascii="Times New Roman" w:hAnsi="Times New Roman" w:eastAsia="仿宋_GB2312" w:cs="Times New Roman"/>
          <w:sz w:val="32"/>
          <w:szCs w:val="32"/>
        </w:rPr>
      </w:pPr>
      <w:r>
        <w:rPr>
          <w:rFonts w:hint="eastAsia" w:ascii="仿宋" w:hAnsi="仿宋" w:eastAsia="仿宋" w:cs="仿宋"/>
          <w:sz w:val="32"/>
          <w:szCs w:val="32"/>
        </w:rPr>
        <w:t>6.</w:t>
      </w:r>
      <w:r>
        <w:rPr>
          <w:rFonts w:ascii="Times New Roman" w:hAnsi="Times New Roman" w:eastAsia="仿宋_GB2312" w:cs="Times New Roman"/>
          <w:sz w:val="32"/>
          <w:szCs w:val="32"/>
        </w:rPr>
        <w:t>畅通优秀足球苗子成长通道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各地要注重发现、选拔和重点培养学生足球运动苗子，认真组建本地学生足球代表队，开展多种形式的集训、比赛和交流活动。有条件</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地方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体育、教育部门</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联合创建青少年足球训练中心，</w:t>
      </w:r>
      <w:r>
        <w:rPr>
          <w:rFonts w:hint="eastAsia" w:ascii="Times New Roman" w:hAnsi="Times New Roman" w:eastAsia="仿宋_GB2312" w:cs="Times New Roman"/>
          <w:sz w:val="32"/>
          <w:szCs w:val="32"/>
        </w:rPr>
        <w:t>构建区队联办足球人才输送培育体系，</w:t>
      </w:r>
      <w:r>
        <w:rPr>
          <w:rFonts w:ascii="Times New Roman" w:hAnsi="Times New Roman" w:eastAsia="仿宋_GB2312" w:cs="Times New Roman"/>
          <w:sz w:val="32"/>
          <w:szCs w:val="32"/>
        </w:rPr>
        <w:t>为提高学生足球运动水平提供综合服务。组织全国性校园足球夏（冬）令营，聘请国内外高水平教练集中培训各地选送的优秀学生足球运动员。建立教育、体育和社会相互衔接的人才输送渠道，拓宽校园足球学生运动员进入国家足球后备人才梯队、有关足球职业俱乐部和选派到国外著名足球职业俱乐部的通道。依托全国学生学籍管理系统，建立全国青少年校园足球工作管理信息系统，动态监测学生学习、升学和流动情况，并提供相应支持服务。研究制定</w:t>
      </w:r>
      <w:r>
        <w:rPr>
          <w:rFonts w:hint="eastAsia" w:ascii="Times New Roman" w:hAnsi="Times New Roman" w:eastAsia="仿宋_GB2312" w:cs="Times New Roman"/>
          <w:sz w:val="32"/>
          <w:szCs w:val="32"/>
        </w:rPr>
        <w:t>校园足球</w:t>
      </w:r>
      <w:r>
        <w:rPr>
          <w:rFonts w:ascii="Times New Roman" w:hAnsi="Times New Roman" w:eastAsia="仿宋_GB2312" w:cs="Times New Roman"/>
          <w:sz w:val="32"/>
          <w:szCs w:val="32"/>
        </w:rPr>
        <w:t>学生运动员注册管理办法。</w:t>
      </w:r>
    </w:p>
    <w:p>
      <w:pPr>
        <w:ind w:firstLine="640" w:firstLineChars="200"/>
        <w:rPr>
          <w:rFonts w:ascii="仿宋" w:hAnsi="仿宋" w:eastAsia="仿宋"/>
          <w:sz w:val="32"/>
          <w:szCs w:val="32"/>
        </w:rPr>
      </w:pPr>
      <w:r>
        <w:rPr>
          <w:rFonts w:hint="eastAsia" w:eastAsia="仿宋_GB2312" w:cs="仿宋_GB2312"/>
          <w:sz w:val="32"/>
          <w:szCs w:val="32"/>
        </w:rPr>
        <w:t>7.健全青</w:t>
      </w:r>
      <w:r>
        <w:rPr>
          <w:rFonts w:hint="eastAsia" w:eastAsia="仿宋_GB2312"/>
          <w:sz w:val="32"/>
          <w:szCs w:val="32"/>
        </w:rPr>
        <w:t>少年足球人才成长体系。注重优秀学生足球运动员的选拔培养，拓展足球特长生成长通道，建立小学到大学相互衔接、递次递进的足球后备人才“一条龙”培养体系。进一步完善基础教育招生考试政策，鼓励青少年长期积极学习文化课并参加足球训练。鼓励在杭高校设置足球专业，支持有条件的专业成立足球系、足球学院，培养足球相关人才。建立完善与社会充分衔接的人才输送渠道，拓宽校园足球学生运动员进入国家、省市级足球后备人才梯队和足球职业俱乐部的通道。坚持科学运动，强化校园足球运动伤害风险管理，制定校园足球安全手册。完善安全保险机制，推进政府购买服务，探索新增校园运动伤害险，提升校园足球安全保障水平。</w:t>
      </w:r>
    </w:p>
    <w:tbl>
      <w:tblPr>
        <w:tblStyle w:val="10"/>
        <w:tblW w:w="8522"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c>
          <w:tcPr>
            <w:tcW w:w="8522" w:type="dxa"/>
            <w:tcBorders>
              <w:top w:val="double" w:color="auto" w:sz="4" w:space="0"/>
            </w:tcBorders>
            <w:vAlign w:val="top"/>
          </w:tcPr>
          <w:p>
            <w:pPr>
              <w:ind w:right="105" w:rightChars="50"/>
              <w:jc w:val="center"/>
              <w:rPr>
                <w:rFonts w:eastAsia="仿宋_GB2312"/>
                <w:sz w:val="32"/>
                <w:szCs w:val="32"/>
              </w:rPr>
            </w:pPr>
            <w:r>
              <w:rPr>
                <w:rFonts w:hint="eastAsia" w:eastAsia="黑体" w:cs="黑体"/>
                <w:sz w:val="28"/>
                <w:szCs w:val="28"/>
              </w:rPr>
              <w:t>专栏一：青少年校园足球培养行动</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557" w:hRule="atLeast"/>
        </w:trPr>
        <w:tc>
          <w:tcPr>
            <w:tcW w:w="8522" w:type="dxa"/>
            <w:tcBorders>
              <w:bottom w:val="double" w:color="auto" w:sz="4" w:space="0"/>
            </w:tcBorders>
            <w:vAlign w:val="top"/>
          </w:tcPr>
          <w:p>
            <w:pPr>
              <w:adjustRightInd w:val="0"/>
              <w:snapToGrid w:val="0"/>
              <w:ind w:right="105" w:rightChars="50" w:firstLine="560" w:firstLineChars="200"/>
              <w:rPr>
                <w:rFonts w:ascii="楷体" w:hAnsi="楷体" w:eastAsia="楷体"/>
                <w:sz w:val="28"/>
                <w:szCs w:val="28"/>
              </w:rPr>
            </w:pPr>
            <w:r>
              <w:rPr>
                <w:rFonts w:hint="eastAsia" w:ascii="楷体" w:hAnsi="楷体" w:eastAsia="楷体" w:cs="楷体"/>
                <w:sz w:val="28"/>
                <w:szCs w:val="28"/>
              </w:rPr>
              <w:t>1.特色创建行动</w:t>
            </w:r>
          </w:p>
          <w:p>
            <w:pPr>
              <w:adjustRightInd w:val="0"/>
              <w:snapToGrid w:val="0"/>
              <w:ind w:right="105" w:rightChars="50" w:firstLine="560" w:firstLineChars="200"/>
              <w:rPr>
                <w:rFonts w:ascii="楷体" w:hAnsi="楷体" w:eastAsia="楷体" w:cs="楷体"/>
                <w:sz w:val="28"/>
                <w:szCs w:val="28"/>
              </w:rPr>
            </w:pPr>
            <w:r>
              <w:rPr>
                <w:rFonts w:hint="eastAsia" w:ascii="楷体" w:hAnsi="楷体" w:eastAsia="楷体" w:cs="楷体"/>
                <w:sz w:val="28"/>
                <w:szCs w:val="28"/>
              </w:rPr>
              <w:t>到</w:t>
            </w:r>
            <w:r>
              <w:rPr>
                <w:rFonts w:ascii="楷体" w:hAnsi="楷体" w:eastAsia="楷体" w:cs="楷体"/>
                <w:sz w:val="28"/>
                <w:szCs w:val="28"/>
              </w:rPr>
              <w:t>202</w:t>
            </w:r>
            <w:r>
              <w:rPr>
                <w:rFonts w:hint="eastAsia" w:ascii="楷体" w:hAnsi="楷体" w:eastAsia="楷体" w:cs="楷体"/>
                <w:sz w:val="28"/>
                <w:szCs w:val="28"/>
              </w:rPr>
              <w:t>5年，创建市级校园足球试点区、县（市）</w:t>
            </w:r>
            <w:r>
              <w:rPr>
                <w:rFonts w:ascii="楷体" w:hAnsi="楷体" w:eastAsia="楷体" w:cs="楷体"/>
                <w:sz w:val="28"/>
                <w:szCs w:val="28"/>
              </w:rPr>
              <w:t>8</w:t>
            </w:r>
            <w:r>
              <w:rPr>
                <w:rFonts w:hint="eastAsia" w:ascii="楷体" w:hAnsi="楷体" w:eastAsia="楷体" w:cs="楷体"/>
                <w:sz w:val="28"/>
                <w:szCs w:val="28"/>
              </w:rPr>
              <w:t>个，市级校园足球青训基地3-6个、市级校园足球特色学校和幼儿园80</w:t>
            </w:r>
            <w:r>
              <w:rPr>
                <w:rFonts w:ascii="楷体" w:hAnsi="楷体" w:eastAsia="楷体" w:cs="楷体"/>
                <w:sz w:val="28"/>
                <w:szCs w:val="28"/>
              </w:rPr>
              <w:t>0</w:t>
            </w:r>
            <w:r>
              <w:rPr>
                <w:rFonts w:hint="eastAsia" w:ascii="楷体" w:hAnsi="楷体" w:eastAsia="楷体" w:cs="楷体"/>
                <w:sz w:val="28"/>
                <w:szCs w:val="28"/>
              </w:rPr>
              <w:t>所以上.</w:t>
            </w:r>
          </w:p>
          <w:p>
            <w:pPr>
              <w:adjustRightInd w:val="0"/>
              <w:snapToGrid w:val="0"/>
              <w:ind w:right="105" w:rightChars="50" w:firstLine="560" w:firstLineChars="200"/>
              <w:rPr>
                <w:rFonts w:ascii="楷体" w:hAnsi="楷体" w:eastAsia="楷体" w:cs="楷体"/>
                <w:sz w:val="28"/>
                <w:szCs w:val="28"/>
              </w:rPr>
            </w:pPr>
            <w:r>
              <w:rPr>
                <w:rFonts w:hint="eastAsia" w:ascii="楷体" w:hAnsi="楷体" w:eastAsia="楷体" w:cs="楷体"/>
                <w:sz w:val="28"/>
                <w:szCs w:val="28"/>
              </w:rPr>
              <w:t>2.普及推广行动</w:t>
            </w:r>
          </w:p>
          <w:p>
            <w:pPr>
              <w:adjustRightInd w:val="0"/>
              <w:snapToGrid w:val="0"/>
              <w:ind w:right="105" w:rightChars="50" w:firstLine="560" w:firstLineChars="200"/>
              <w:rPr>
                <w:rFonts w:ascii="楷体" w:hAnsi="楷体" w:eastAsia="楷体" w:cs="楷体"/>
                <w:sz w:val="28"/>
                <w:szCs w:val="28"/>
              </w:rPr>
            </w:pPr>
            <w:r>
              <w:rPr>
                <w:rFonts w:hint="eastAsia" w:ascii="楷体" w:hAnsi="楷体" w:eastAsia="楷体" w:cs="楷体"/>
                <w:sz w:val="28"/>
                <w:szCs w:val="28"/>
              </w:rPr>
              <w:t>到</w:t>
            </w:r>
            <w:r>
              <w:rPr>
                <w:rFonts w:ascii="楷体" w:hAnsi="楷体" w:eastAsia="楷体" w:cs="楷体"/>
                <w:sz w:val="28"/>
                <w:szCs w:val="28"/>
              </w:rPr>
              <w:t>202</w:t>
            </w:r>
            <w:r>
              <w:rPr>
                <w:rFonts w:hint="eastAsia" w:ascii="楷体" w:hAnsi="楷体" w:eastAsia="楷体" w:cs="楷体"/>
                <w:sz w:val="28"/>
                <w:szCs w:val="28"/>
              </w:rPr>
              <w:t>5年，市属高校足球选修课开设率达到</w:t>
            </w:r>
            <w:r>
              <w:rPr>
                <w:rFonts w:ascii="楷体" w:hAnsi="楷体" w:eastAsia="楷体" w:cs="楷体"/>
                <w:sz w:val="28"/>
                <w:szCs w:val="28"/>
              </w:rPr>
              <w:t>90%</w:t>
            </w:r>
            <w:r>
              <w:rPr>
                <w:rFonts w:hint="eastAsia" w:ascii="楷体" w:hAnsi="楷体" w:eastAsia="楷体" w:cs="楷体"/>
                <w:sz w:val="28"/>
                <w:szCs w:val="28"/>
              </w:rPr>
              <w:t>，经常参加足球运动学生人数占8</w:t>
            </w:r>
            <w:r>
              <w:rPr>
                <w:rFonts w:ascii="楷体" w:hAnsi="楷体" w:eastAsia="楷体" w:cs="楷体"/>
                <w:sz w:val="28"/>
                <w:szCs w:val="28"/>
              </w:rPr>
              <w:t>0%</w:t>
            </w:r>
            <w:r>
              <w:rPr>
                <w:rFonts w:hint="eastAsia" w:ascii="楷体" w:hAnsi="楷体" w:eastAsia="楷体" w:cs="楷体"/>
                <w:sz w:val="28"/>
                <w:szCs w:val="28"/>
              </w:rPr>
              <w:t>以上。</w:t>
            </w:r>
          </w:p>
          <w:p>
            <w:pPr>
              <w:adjustRightInd w:val="0"/>
              <w:snapToGrid w:val="0"/>
              <w:ind w:right="105" w:rightChars="50" w:firstLine="560" w:firstLineChars="200"/>
              <w:rPr>
                <w:rFonts w:ascii="楷体" w:hAnsi="楷体" w:eastAsia="楷体" w:cs="楷体"/>
                <w:sz w:val="28"/>
                <w:szCs w:val="28"/>
              </w:rPr>
            </w:pPr>
            <w:r>
              <w:rPr>
                <w:rFonts w:hint="eastAsia" w:ascii="楷体" w:hAnsi="楷体" w:eastAsia="楷体" w:cs="楷体"/>
                <w:sz w:val="28"/>
                <w:szCs w:val="28"/>
              </w:rPr>
              <w:t>3.训练和竞赛奋进行动</w:t>
            </w:r>
          </w:p>
          <w:p>
            <w:pPr>
              <w:adjustRightInd w:val="0"/>
              <w:snapToGrid w:val="0"/>
              <w:ind w:right="105" w:rightChars="50" w:firstLine="560" w:firstLineChars="200"/>
              <w:rPr>
                <w:rFonts w:ascii="楷体" w:hAnsi="楷体" w:eastAsia="楷体" w:cs="楷体"/>
                <w:sz w:val="28"/>
                <w:szCs w:val="28"/>
              </w:rPr>
            </w:pPr>
            <w:r>
              <w:rPr>
                <w:rFonts w:hint="eastAsia" w:ascii="楷体" w:hAnsi="楷体" w:eastAsia="楷体" w:cs="楷体"/>
                <w:sz w:val="28"/>
                <w:szCs w:val="28"/>
              </w:rPr>
              <w:t>到</w:t>
            </w:r>
            <w:r>
              <w:rPr>
                <w:rFonts w:ascii="楷体" w:hAnsi="楷体" w:eastAsia="楷体" w:cs="楷体"/>
                <w:sz w:val="28"/>
                <w:szCs w:val="28"/>
              </w:rPr>
              <w:t>202</w:t>
            </w:r>
            <w:r>
              <w:rPr>
                <w:rFonts w:hint="eastAsia" w:ascii="楷体" w:hAnsi="楷体" w:eastAsia="楷体" w:cs="楷体"/>
                <w:sz w:val="28"/>
                <w:szCs w:val="28"/>
              </w:rPr>
              <w:t>5年，组建校园足球队伍8</w:t>
            </w:r>
            <w:r>
              <w:rPr>
                <w:rFonts w:ascii="楷体" w:hAnsi="楷体" w:eastAsia="楷体" w:cs="楷体"/>
                <w:sz w:val="28"/>
                <w:szCs w:val="28"/>
              </w:rPr>
              <w:t>00</w:t>
            </w:r>
            <w:r>
              <w:rPr>
                <w:rFonts w:hint="eastAsia" w:ascii="楷体" w:hAnsi="楷体" w:eastAsia="楷体" w:cs="楷体"/>
                <w:sz w:val="28"/>
                <w:szCs w:val="28"/>
              </w:rPr>
              <w:t>支以上，建立区、县（市）全覆盖的各个年龄段的校园足球训练营；组织校园足球小学、初中、高中、大学四级联赛，完善市、区县（市）、校三个层面的竞赛体系，每年举办一场全国校园足球特色学校邀请赛。</w:t>
            </w:r>
          </w:p>
          <w:p>
            <w:pPr>
              <w:adjustRightInd w:val="0"/>
              <w:snapToGrid w:val="0"/>
              <w:ind w:right="105" w:rightChars="50" w:firstLine="560" w:firstLineChars="200"/>
              <w:rPr>
                <w:rFonts w:ascii="楷体" w:hAnsi="楷体" w:eastAsia="楷体" w:cs="楷体"/>
                <w:sz w:val="28"/>
                <w:szCs w:val="28"/>
              </w:rPr>
            </w:pPr>
            <w:r>
              <w:rPr>
                <w:rFonts w:hint="eastAsia" w:ascii="楷体" w:hAnsi="楷体" w:eastAsia="楷体" w:cs="楷体"/>
                <w:sz w:val="28"/>
                <w:szCs w:val="28"/>
              </w:rPr>
              <w:t>4.足球人才培养行动</w:t>
            </w:r>
          </w:p>
          <w:p>
            <w:pPr>
              <w:adjustRightInd w:val="0"/>
              <w:snapToGrid w:val="0"/>
              <w:ind w:right="105" w:rightChars="50" w:firstLine="560" w:firstLineChars="200"/>
              <w:rPr>
                <w:rFonts w:ascii="仿宋" w:hAnsi="仿宋" w:eastAsia="仿宋"/>
                <w:sz w:val="32"/>
                <w:szCs w:val="32"/>
              </w:rPr>
            </w:pPr>
            <w:r>
              <w:rPr>
                <w:rFonts w:hint="eastAsia" w:ascii="楷体" w:hAnsi="楷体" w:eastAsia="楷体" w:cs="楷体"/>
                <w:sz w:val="28"/>
                <w:szCs w:val="28"/>
              </w:rPr>
              <w:t>到</w:t>
            </w:r>
            <w:r>
              <w:rPr>
                <w:rFonts w:ascii="楷体" w:hAnsi="楷体" w:eastAsia="楷体" w:cs="楷体"/>
                <w:sz w:val="28"/>
                <w:szCs w:val="28"/>
              </w:rPr>
              <w:t>202</w:t>
            </w:r>
            <w:r>
              <w:rPr>
                <w:rFonts w:hint="eastAsia" w:ascii="楷体" w:hAnsi="楷体" w:eastAsia="楷体" w:cs="楷体"/>
                <w:sz w:val="28"/>
                <w:szCs w:val="28"/>
              </w:rPr>
              <w:t>5年，全市中小学每校至少有一名体育教师参加过校园足球师资专项培训且有“执教资格证”，实现校园足球教师培训全覆盖；足球特色学校应至少配备</w:t>
            </w:r>
            <w:r>
              <w:rPr>
                <w:rFonts w:ascii="楷体" w:hAnsi="楷体" w:eastAsia="楷体" w:cs="楷体"/>
                <w:sz w:val="28"/>
                <w:szCs w:val="28"/>
              </w:rPr>
              <w:t>1</w:t>
            </w:r>
            <w:r>
              <w:rPr>
                <w:rFonts w:hint="eastAsia" w:ascii="楷体" w:hAnsi="楷体" w:eastAsia="楷体" w:cs="楷体"/>
                <w:sz w:val="28"/>
                <w:szCs w:val="28"/>
              </w:rPr>
              <w:t>名专职足球教师。</w:t>
            </w:r>
          </w:p>
        </w:tc>
      </w:tr>
    </w:tbl>
    <w:p>
      <w:pPr>
        <w:spacing w:line="360" w:lineRule="auto"/>
        <w:ind w:firstLine="640" w:firstLineChars="200"/>
        <w:outlineLvl w:val="1"/>
        <w:rPr>
          <w:rFonts w:ascii="楷体_GB2312" w:hAnsi="Calibri" w:eastAsia="楷体_GB2312"/>
          <w:sz w:val="32"/>
          <w:szCs w:val="32"/>
        </w:rPr>
      </w:pPr>
      <w:bookmarkStart w:id="20" w:name="_Toc515646128"/>
      <w:bookmarkStart w:id="21" w:name="_Toc515646375"/>
      <w:r>
        <w:rPr>
          <w:rFonts w:hint="eastAsia" w:ascii="楷体_GB2312" w:hAnsi="Calibri" w:eastAsia="楷体_GB2312" w:cs="楷体_GB2312"/>
          <w:sz w:val="32"/>
          <w:szCs w:val="32"/>
        </w:rPr>
        <w:t>（四）建设足球场地，夯实基础设施</w:t>
      </w:r>
      <w:bookmarkEnd w:id="20"/>
      <w:bookmarkEnd w:id="21"/>
    </w:p>
    <w:p>
      <w:pPr>
        <w:ind w:firstLine="640" w:firstLineChars="200"/>
        <w:rPr>
          <w:rFonts w:eastAsia="仿宋_GB2312"/>
          <w:sz w:val="32"/>
          <w:szCs w:val="32"/>
        </w:rPr>
      </w:pPr>
      <w:r>
        <w:rPr>
          <w:rFonts w:hint="eastAsia" w:eastAsia="仿宋_GB2312"/>
          <w:sz w:val="32"/>
          <w:szCs w:val="32"/>
        </w:rPr>
        <w:t>1.加强校园足球场地设施建设。加大校园足球场地设施规划、建设和改造力度，纳入学校标准化建设，推动学校场馆“多功能性”建设。鼓励有条件的学校按标准建设足球运动场地，条件尚不具备的学校可建设五人制或笼式足球场地、七人制的小型球场，中小学足球特色学校建有</w:t>
      </w:r>
      <w:r>
        <w:rPr>
          <w:rFonts w:eastAsia="仿宋_GB2312"/>
          <w:sz w:val="32"/>
          <w:szCs w:val="32"/>
        </w:rPr>
        <w:t>1</w:t>
      </w:r>
      <w:r>
        <w:rPr>
          <w:rFonts w:hint="eastAsia" w:eastAsia="仿宋_GB2312"/>
          <w:sz w:val="32"/>
          <w:szCs w:val="32"/>
        </w:rPr>
        <w:t>块以上足球场地，有条件的高等院校至少建设</w:t>
      </w:r>
      <w:r>
        <w:rPr>
          <w:rFonts w:eastAsia="仿宋_GB2312"/>
          <w:sz w:val="32"/>
          <w:szCs w:val="32"/>
        </w:rPr>
        <w:t>1</w:t>
      </w:r>
      <w:r>
        <w:rPr>
          <w:rFonts w:hint="eastAsia" w:eastAsia="仿宋_GB2312"/>
          <w:sz w:val="32"/>
          <w:szCs w:val="32"/>
        </w:rPr>
        <w:t>块标准</w:t>
      </w:r>
      <w:r>
        <w:rPr>
          <w:rFonts w:eastAsia="仿宋_GB2312"/>
          <w:sz w:val="32"/>
          <w:szCs w:val="32"/>
        </w:rPr>
        <w:t>11</w:t>
      </w:r>
      <w:r>
        <w:rPr>
          <w:rFonts w:hint="eastAsia" w:eastAsia="仿宋_GB2312"/>
          <w:sz w:val="32"/>
          <w:szCs w:val="32"/>
        </w:rPr>
        <w:t>人制足球场，其他特殊类型学校创造条件建设适宜的足球场地。鼓励社会力量参与或政府购买服务等方式参与校园足球场馆设施建设。</w:t>
      </w:r>
    </w:p>
    <w:p>
      <w:pPr>
        <w:ind w:firstLine="640" w:firstLineChars="200"/>
        <w:rPr>
          <w:rFonts w:eastAsia="仿宋_GB2312"/>
          <w:sz w:val="32"/>
          <w:szCs w:val="32"/>
        </w:rPr>
      </w:pPr>
      <w:r>
        <w:rPr>
          <w:rFonts w:hint="eastAsia" w:eastAsia="仿宋_GB2312"/>
          <w:sz w:val="32"/>
          <w:szCs w:val="32"/>
        </w:rPr>
        <w:t>2.提高足球场地建设运营能力。加强学校足球场地设施建设和运营，按照“管办分离和非盈利性”原则，通过委托授权、购买服务等方式，引进、扶持和培育一批足球场馆专业运营管理主体，开展校园足球技术等级考核等赛事活动，提高场地设施运营水平。整合各学校和社会体育场地设施资源，建立学校和社会公共体育设施共享共用机制，促进公共足球场地低价或免费向社会开放。鼓励各类足球场馆公益性开放。</w:t>
      </w:r>
    </w:p>
    <w:tbl>
      <w:tblPr>
        <w:tblStyle w:val="10"/>
        <w:tblW w:w="852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double" w:color="auto" w:sz="4" w:space="0"/>
            </w:tcBorders>
            <w:vAlign w:val="top"/>
          </w:tcPr>
          <w:p>
            <w:pPr>
              <w:ind w:right="105" w:rightChars="50"/>
              <w:jc w:val="center"/>
              <w:rPr>
                <w:rFonts w:eastAsia="仿宋_GB2312"/>
                <w:sz w:val="32"/>
                <w:szCs w:val="32"/>
              </w:rPr>
            </w:pPr>
            <w:r>
              <w:rPr>
                <w:rFonts w:hint="eastAsia" w:eastAsia="黑体" w:cs="黑体"/>
                <w:sz w:val="28"/>
                <w:szCs w:val="28"/>
              </w:rPr>
              <w:t>专栏二：校园足球场地设施建设工程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bottom w:val="double" w:color="auto" w:sz="4" w:space="0"/>
            </w:tcBorders>
            <w:vAlign w:val="top"/>
          </w:tcPr>
          <w:p>
            <w:pPr>
              <w:adjustRightInd w:val="0"/>
              <w:snapToGrid w:val="0"/>
              <w:spacing w:before="163" w:after="163"/>
              <w:ind w:firstLine="560" w:firstLineChars="200"/>
              <w:rPr>
                <w:rFonts w:ascii="楷体" w:hAnsi="楷体" w:eastAsia="楷体"/>
                <w:sz w:val="28"/>
                <w:szCs w:val="28"/>
              </w:rPr>
            </w:pPr>
            <w:r>
              <w:rPr>
                <w:rFonts w:hint="eastAsia" w:ascii="楷体" w:hAnsi="楷体" w:eastAsia="楷体" w:cs="楷体"/>
                <w:sz w:val="28"/>
                <w:szCs w:val="28"/>
              </w:rPr>
              <w:t>实施与校外足球场地合作、校内运动场地改造计划。到</w:t>
            </w:r>
            <w:r>
              <w:rPr>
                <w:rFonts w:ascii="楷体" w:hAnsi="楷体" w:eastAsia="楷体" w:cs="楷体"/>
                <w:sz w:val="28"/>
                <w:szCs w:val="28"/>
              </w:rPr>
              <w:t>202</w:t>
            </w:r>
            <w:r>
              <w:rPr>
                <w:rFonts w:hint="eastAsia" w:ascii="楷体" w:hAnsi="楷体" w:eastAsia="楷体" w:cs="楷体"/>
                <w:sz w:val="28"/>
                <w:szCs w:val="28"/>
              </w:rPr>
              <w:t>5年，新建学校均建有符合足球比赛标准的场地，每个学校均有满足开展校园足球活动的校内外场地，校园足球试点区、县（市）内有校园足球活动场地的学校达8</w:t>
            </w:r>
            <w:r>
              <w:rPr>
                <w:rFonts w:ascii="楷体" w:hAnsi="楷体" w:eastAsia="楷体" w:cs="楷体"/>
                <w:sz w:val="28"/>
                <w:szCs w:val="28"/>
              </w:rPr>
              <w:t>0%</w:t>
            </w:r>
            <w:r>
              <w:rPr>
                <w:rFonts w:hint="eastAsia" w:ascii="楷体" w:hAnsi="楷体" w:eastAsia="楷体" w:cs="楷体"/>
                <w:sz w:val="28"/>
                <w:szCs w:val="28"/>
              </w:rPr>
              <w:t>以上。</w:t>
            </w:r>
          </w:p>
        </w:tc>
      </w:tr>
    </w:tbl>
    <w:p>
      <w:pPr>
        <w:spacing w:line="360" w:lineRule="auto"/>
        <w:ind w:firstLine="640" w:firstLineChars="200"/>
        <w:outlineLvl w:val="1"/>
        <w:rPr>
          <w:rFonts w:ascii="楷体_GB2312" w:hAnsi="Calibri" w:eastAsia="楷体_GB2312"/>
          <w:sz w:val="32"/>
          <w:szCs w:val="32"/>
        </w:rPr>
      </w:pPr>
      <w:bookmarkStart w:id="22" w:name="_Toc515646376"/>
      <w:bookmarkStart w:id="23" w:name="_Toc515646129"/>
      <w:r>
        <w:rPr>
          <w:rFonts w:hint="eastAsia" w:ascii="楷体_GB2312" w:hAnsi="Calibri" w:eastAsia="楷体_GB2312" w:cs="楷体_GB2312"/>
          <w:sz w:val="32"/>
          <w:szCs w:val="32"/>
        </w:rPr>
        <w:t>（五）创新足球</w:t>
      </w:r>
      <w:bookmarkEnd w:id="22"/>
      <w:bookmarkEnd w:id="23"/>
      <w:r>
        <w:rPr>
          <w:rFonts w:hint="eastAsia" w:ascii="楷体_GB2312" w:hAnsi="Calibri" w:eastAsia="楷体_GB2312" w:cs="楷体_GB2312"/>
          <w:sz w:val="32"/>
          <w:szCs w:val="32"/>
        </w:rPr>
        <w:t>产业发展新模式，扩大校园足球普及</w:t>
      </w:r>
    </w:p>
    <w:p>
      <w:pPr>
        <w:ind w:firstLine="640" w:firstLineChars="200"/>
        <w:rPr>
          <w:rFonts w:eastAsia="仿宋_GB2312"/>
          <w:sz w:val="32"/>
          <w:szCs w:val="32"/>
        </w:rPr>
      </w:pPr>
      <w:r>
        <w:rPr>
          <w:rFonts w:hint="eastAsia" w:eastAsia="仿宋_GB2312"/>
          <w:sz w:val="32"/>
          <w:szCs w:val="32"/>
        </w:rPr>
        <w:t>1. 加快发展壮大足球产业。深入挖掘足球消费潜力，制定以“校园足球技术技能等级考核”为主线的足球普及产业模式，调动“师生家校社”参与足球运动的积极性、主动性，拉动更广泛的社会各界支持，不断提升校园足球治理水平，加大与各企事业单位及校园足球战略合作伙伴的合作，形成杭州足球产业发展新样板。积极引进和举办校园足球技术技能等级考核活动，借助大数据、互联网、物联网、云计算等现代信息技术手段，发展赛事运营、场馆运营、培训服务、健身娱乐、医疗康复、足球电子竞技、衍生品开发等相关产业，创新全产业链运营模式，催生足球运动新业态，推动校园足球普及蓬勃发展。</w:t>
      </w:r>
    </w:p>
    <w:p>
      <w:pPr>
        <w:ind w:firstLine="640" w:firstLineChars="200"/>
        <w:rPr>
          <w:rFonts w:eastAsia="仿宋_GB2312"/>
          <w:sz w:val="32"/>
          <w:szCs w:val="32"/>
        </w:rPr>
      </w:pPr>
      <w:r>
        <w:rPr>
          <w:rFonts w:hint="eastAsia" w:eastAsia="仿宋_GB2312"/>
          <w:sz w:val="32"/>
          <w:szCs w:val="32"/>
        </w:rPr>
        <w:t>2. 鼓励社会力量积极参与。促进校园足球领域资源全面开放，推广运用政府和社会资本合作模式（</w:t>
      </w:r>
      <w:r>
        <w:rPr>
          <w:rFonts w:eastAsia="仿宋_GB2312"/>
          <w:sz w:val="32"/>
          <w:szCs w:val="32"/>
        </w:rPr>
        <w:t>PPP</w:t>
      </w:r>
      <w:r>
        <w:rPr>
          <w:rFonts w:hint="eastAsia" w:eastAsia="仿宋_GB2312"/>
          <w:sz w:val="32"/>
          <w:szCs w:val="32"/>
        </w:rPr>
        <w:t>），支持引导企事业单位、社会组织、个人共同参与校园足球发展。鼓励多元资本投入，支持有条件、有能力的企业、大型体育场馆采取单独组建、合作联办、冠名赞助等方式参与校园足球的发展，进一步优化资产结构，提高资本效益。</w:t>
      </w:r>
    </w:p>
    <w:p>
      <w:pPr>
        <w:ind w:firstLine="640" w:firstLineChars="200"/>
        <w:rPr>
          <w:rFonts w:eastAsia="仿宋_GB2312"/>
          <w:sz w:val="32"/>
          <w:szCs w:val="32"/>
        </w:rPr>
      </w:pPr>
      <w:r>
        <w:rPr>
          <w:rFonts w:hint="eastAsia" w:eastAsia="仿宋_GB2312"/>
          <w:sz w:val="32"/>
          <w:szCs w:val="32"/>
        </w:rPr>
        <w:t>3. 加强校园足球专业人才培养。按照“分级、分类管理”原则，建立科学有效的校园足球技术人才培训管理体系。加大校园足球教练员、教师、裁判员、管理人员等专业人才培养力度和培训，打造一支适应现代校园足球管理的专业化、国际化校园足球专业人才队伍。鼓励和支持校园足球专业人才不断晋级和参加继续培训，建立健全国内外培养培训体系，支持在校（园）优秀运动员、教练员、裁判员赴足球发达国家和地区学习培训。到</w:t>
      </w:r>
      <w:r>
        <w:rPr>
          <w:rFonts w:eastAsia="仿宋_GB2312"/>
          <w:sz w:val="32"/>
          <w:szCs w:val="32"/>
        </w:rPr>
        <w:t>202</w:t>
      </w:r>
      <w:r>
        <w:rPr>
          <w:rFonts w:hint="eastAsia" w:eastAsia="仿宋_GB2312"/>
          <w:sz w:val="32"/>
          <w:szCs w:val="32"/>
        </w:rPr>
        <w:t>5年，全市“杭州市校园足球执教证”持证人员总量翻一番。全市各级教育部门要出台相应的政策，支持退役足球运动员进校从事足球培训讲师、足球教练员、裁判员等工作。</w:t>
      </w:r>
    </w:p>
    <w:p>
      <w:pPr>
        <w:ind w:firstLine="640" w:firstLineChars="200"/>
        <w:rPr>
          <w:rFonts w:eastAsia="仿宋_GB2312"/>
          <w:sz w:val="32"/>
          <w:szCs w:val="32"/>
        </w:rPr>
      </w:pPr>
      <w:r>
        <w:rPr>
          <w:rFonts w:hint="eastAsia" w:eastAsia="仿宋_GB2312"/>
          <w:sz w:val="32"/>
          <w:szCs w:val="32"/>
        </w:rPr>
        <w:t xml:space="preserve">4. </w:t>
      </w:r>
      <w:r>
        <w:rPr>
          <w:rFonts w:eastAsia="仿宋_GB2312"/>
          <w:sz w:val="32"/>
          <w:szCs w:val="32"/>
        </w:rPr>
        <w:t>加强统筹推进普及。统筹城乡区域布局，统筹各级各类学校，统筹各类社会资源，鼓励有基础的地方和学校探索实践，加大对农村学校帮扶力度，着力扩大校园足球覆盖面。鼓励支持各年龄段学生广泛参与，积极开展青少年女子足球运动，让更多青少年体验足球生活、热爱足球运动、享受足球快乐。以普及校园足球示范带动校园田径、篮球、排球</w:t>
      </w:r>
      <w:r>
        <w:rPr>
          <w:rFonts w:hint="eastAsia" w:eastAsia="仿宋_GB2312"/>
          <w:sz w:val="32"/>
          <w:szCs w:val="32"/>
        </w:rPr>
        <w:t>、智力运动</w:t>
      </w:r>
      <w:r>
        <w:rPr>
          <w:rFonts w:eastAsia="仿宋_GB2312"/>
          <w:sz w:val="32"/>
          <w:szCs w:val="32"/>
        </w:rPr>
        <w:t>等其他体育运动项目</w:t>
      </w:r>
      <w:r>
        <w:rPr>
          <w:rFonts w:hint="eastAsia" w:eastAsia="仿宋_GB2312"/>
          <w:sz w:val="32"/>
          <w:szCs w:val="32"/>
        </w:rPr>
        <w:t>的</w:t>
      </w:r>
      <w:r>
        <w:rPr>
          <w:rFonts w:eastAsia="仿宋_GB2312"/>
          <w:sz w:val="32"/>
          <w:szCs w:val="32"/>
        </w:rPr>
        <w:t>发展。</w:t>
      </w:r>
    </w:p>
    <w:p>
      <w:pPr>
        <w:ind w:firstLine="640" w:firstLineChars="200"/>
        <w:rPr>
          <w:rFonts w:eastAsia="仿宋_GB2312"/>
          <w:sz w:val="32"/>
          <w:szCs w:val="32"/>
        </w:rPr>
      </w:pPr>
      <w:r>
        <w:rPr>
          <w:rFonts w:hint="eastAsia" w:eastAsia="仿宋_GB2312"/>
          <w:sz w:val="32"/>
          <w:szCs w:val="32"/>
        </w:rPr>
        <w:t>5. 扶持特色引领普及。完善《杭州市校园足球特色学校绩效考核评价实施方案》，支持市级校园足球青训基地建设。同时</w:t>
      </w:r>
      <w:r>
        <w:rPr>
          <w:rFonts w:eastAsia="仿宋_GB2312"/>
          <w:sz w:val="32"/>
          <w:szCs w:val="32"/>
        </w:rPr>
        <w:t>遴选一批青少年校园足球特色学校</w:t>
      </w:r>
      <w:r>
        <w:rPr>
          <w:rFonts w:hint="eastAsia" w:eastAsia="仿宋_GB2312"/>
          <w:sz w:val="32"/>
          <w:szCs w:val="32"/>
        </w:rPr>
        <w:t>、特色幼儿园</w:t>
      </w:r>
      <w:r>
        <w:rPr>
          <w:rFonts w:eastAsia="仿宋_GB2312"/>
          <w:sz w:val="32"/>
          <w:szCs w:val="32"/>
        </w:rPr>
        <w:t>，重点建设一批</w:t>
      </w:r>
      <w:r>
        <w:rPr>
          <w:rFonts w:hint="eastAsia" w:eastAsia="仿宋_GB2312"/>
          <w:sz w:val="32"/>
          <w:szCs w:val="32"/>
        </w:rPr>
        <w:t>各年龄段市级精英足球队和市属高校</w:t>
      </w:r>
      <w:r>
        <w:rPr>
          <w:rFonts w:eastAsia="仿宋_GB2312"/>
          <w:sz w:val="32"/>
          <w:szCs w:val="32"/>
        </w:rPr>
        <w:t>高水平足球运动队</w:t>
      </w:r>
      <w:r>
        <w:rPr>
          <w:rFonts w:hint="eastAsia" w:eastAsia="仿宋_GB2312"/>
          <w:sz w:val="32"/>
          <w:szCs w:val="32"/>
        </w:rPr>
        <w:t>，打造一批市级校园足球青训基地、市级校园足球技术等级考核基地</w:t>
      </w:r>
      <w:r>
        <w:rPr>
          <w:rFonts w:eastAsia="仿宋_GB2312"/>
          <w:sz w:val="32"/>
          <w:szCs w:val="32"/>
        </w:rPr>
        <w:t>，支持其加强建设、深化改革、提高水平和办出特色，发挥其示范带动作用。鼓励有条件的地方创建全国青少年校园足球试点县和足球综合改革试验区，先行先试，积累经验，整体推进青少年校园足球发展。</w:t>
      </w:r>
    </w:p>
    <w:p>
      <w:pPr>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培育文化巩固普及。把开展竞赛、游戏等形式多样的足球活动作为校园文化建设的重要内容，让足球运动融入学生生活、扎根校园。大力发展学生足球社团。鼓励学校充分利用互联网和新媒体搭建信息平台，报道足球活动、交流工作经验、展示特色成果，营造有利于青少年校园足球发展的良好文化氛围。</w:t>
      </w:r>
    </w:p>
    <w:p>
      <w:pPr>
        <w:spacing w:beforeLines="50" w:afterLines="50"/>
        <w:ind w:firstLine="640" w:firstLineChars="200"/>
        <w:outlineLvl w:val="0"/>
        <w:rPr>
          <w:rFonts w:ascii="黑体" w:hAnsi="Calibri" w:eastAsia="黑体"/>
          <w:sz w:val="32"/>
          <w:szCs w:val="32"/>
        </w:rPr>
      </w:pPr>
      <w:bookmarkStart w:id="24" w:name="_Toc515646130"/>
      <w:bookmarkStart w:id="25" w:name="_Toc515646377"/>
      <w:r>
        <w:rPr>
          <w:rFonts w:hint="eastAsia" w:ascii="黑体" w:hAnsi="Calibri" w:eastAsia="黑体" w:cs="黑体"/>
          <w:sz w:val="32"/>
          <w:szCs w:val="32"/>
        </w:rPr>
        <w:t>四、保障措施</w:t>
      </w:r>
      <w:bookmarkEnd w:id="24"/>
      <w:bookmarkEnd w:id="25"/>
    </w:p>
    <w:p>
      <w:pPr>
        <w:ind w:firstLine="640" w:firstLineChars="200"/>
        <w:rPr>
          <w:rFonts w:eastAsia="仿宋_GB2312"/>
          <w:sz w:val="32"/>
          <w:szCs w:val="32"/>
        </w:rPr>
      </w:pPr>
      <w:r>
        <w:rPr>
          <w:rFonts w:hint="eastAsia" w:eastAsia="仿宋_GB2312"/>
          <w:sz w:val="32"/>
          <w:szCs w:val="32"/>
        </w:rPr>
        <w:t>强化本纲要对全市足球发展的指导和引领作用，持续加大工作保障力度，确保各项目标任务有效落实。</w:t>
      </w:r>
    </w:p>
    <w:p>
      <w:pPr>
        <w:spacing w:line="360" w:lineRule="auto"/>
        <w:ind w:firstLine="640" w:firstLineChars="200"/>
        <w:outlineLvl w:val="1"/>
        <w:rPr>
          <w:rFonts w:ascii="楷体_GB2312" w:hAnsi="Calibri" w:eastAsia="楷体_GB2312"/>
          <w:sz w:val="32"/>
          <w:szCs w:val="32"/>
        </w:rPr>
      </w:pPr>
      <w:r>
        <w:rPr>
          <w:rFonts w:hint="eastAsia" w:ascii="楷体_GB2312" w:hAnsi="Calibri" w:eastAsia="楷体_GB2312" w:cs="楷体_GB2312"/>
          <w:sz w:val="32"/>
          <w:szCs w:val="32"/>
        </w:rPr>
        <w:t>（一）加强组织保障</w:t>
      </w:r>
    </w:p>
    <w:p>
      <w:pPr>
        <w:ind w:firstLine="640" w:firstLineChars="200"/>
        <w:rPr>
          <w:rFonts w:eastAsia="仿宋_GB2312"/>
          <w:sz w:val="32"/>
          <w:szCs w:val="32"/>
        </w:rPr>
      </w:pPr>
      <w:r>
        <w:rPr>
          <w:rFonts w:hint="eastAsia" w:eastAsia="仿宋_GB2312"/>
          <w:sz w:val="32"/>
          <w:szCs w:val="32"/>
        </w:rPr>
        <w:t>在国家级和省级校园足球政策方针指导下，</w:t>
      </w:r>
      <w:r>
        <w:rPr>
          <w:rFonts w:eastAsia="仿宋_GB2312"/>
          <w:sz w:val="32"/>
          <w:szCs w:val="32"/>
        </w:rPr>
        <w:t>调整和完善</w:t>
      </w:r>
      <w:r>
        <w:rPr>
          <w:rFonts w:hint="eastAsia" w:eastAsia="仿宋_GB2312"/>
          <w:sz w:val="32"/>
          <w:szCs w:val="32"/>
        </w:rPr>
        <w:t>各</w:t>
      </w:r>
      <w:r>
        <w:rPr>
          <w:rFonts w:eastAsia="仿宋_GB2312"/>
          <w:sz w:val="32"/>
          <w:szCs w:val="32"/>
        </w:rPr>
        <w:t>级校园足球领导机构和办事机构</w:t>
      </w:r>
      <w:r>
        <w:rPr>
          <w:rFonts w:hint="eastAsia" w:eastAsia="仿宋_GB2312"/>
          <w:sz w:val="32"/>
          <w:szCs w:val="32"/>
        </w:rPr>
        <w:t>，建立健全工作机制，配备专职工作人员</w:t>
      </w:r>
      <w:r>
        <w:rPr>
          <w:rFonts w:eastAsia="仿宋_GB2312"/>
          <w:sz w:val="32"/>
          <w:szCs w:val="32"/>
        </w:rPr>
        <w:t>。</w:t>
      </w:r>
      <w:r>
        <w:rPr>
          <w:rFonts w:hint="eastAsia" w:eastAsia="仿宋_GB2312"/>
          <w:sz w:val="32"/>
          <w:szCs w:val="32"/>
        </w:rPr>
        <w:t>杭州市青少年校园足球领导小组对校园足球改革发展进行宏观指导，杭州市青少年校园足球领导小组办公室履行好校园足球工作主体责任，配备2至3名专职工作人员，全面负责我市校园足球管理和业务指导及校园足球精英梯队建设、场地建设；每月召开1次领导小组办公室工作会议，每年召开2次领导小组工作会议，形成行之有效的工作机制和规范的工作流程</w:t>
      </w:r>
      <w:r>
        <w:rPr>
          <w:rFonts w:eastAsia="仿宋_GB2312"/>
          <w:sz w:val="32"/>
          <w:szCs w:val="32"/>
        </w:rPr>
        <w:t>。</w:t>
      </w:r>
      <w:r>
        <w:rPr>
          <w:rFonts w:hint="eastAsia" w:eastAsia="仿宋_GB2312"/>
          <w:sz w:val="32"/>
          <w:szCs w:val="32"/>
        </w:rPr>
        <w:t>借鉴棋类项目普及管理先进经验，由市培管中心负责统筹杭州市青少年校园足球特色学校的培育、普及管理工作，同时对棋类、足球青训机构进行规范性指导，牵头组织开展杭州市校园足球技术技能等级考核。</w:t>
      </w:r>
      <w:r>
        <w:rPr>
          <w:rFonts w:eastAsia="仿宋_GB2312"/>
          <w:sz w:val="32"/>
          <w:szCs w:val="32"/>
        </w:rPr>
        <w:t>各区</w:t>
      </w:r>
      <w:r>
        <w:rPr>
          <w:rFonts w:hint="eastAsia" w:eastAsia="仿宋_GB2312"/>
          <w:sz w:val="32"/>
          <w:szCs w:val="32"/>
        </w:rPr>
        <w:t>、县（市）政府及</w:t>
      </w:r>
      <w:r>
        <w:rPr>
          <w:rFonts w:eastAsia="仿宋_GB2312"/>
          <w:sz w:val="32"/>
          <w:szCs w:val="32"/>
        </w:rPr>
        <w:t>教育主管部门要</w:t>
      </w:r>
      <w:r>
        <w:rPr>
          <w:rFonts w:hint="eastAsia" w:eastAsia="仿宋_GB2312"/>
          <w:sz w:val="32"/>
          <w:szCs w:val="32"/>
        </w:rPr>
        <w:t>逐步</w:t>
      </w:r>
      <w:r>
        <w:rPr>
          <w:rFonts w:eastAsia="仿宋_GB2312"/>
          <w:sz w:val="32"/>
          <w:szCs w:val="32"/>
        </w:rPr>
        <w:t>完善本级校园足球</w:t>
      </w:r>
      <w:r>
        <w:rPr>
          <w:rFonts w:hint="eastAsia" w:eastAsia="仿宋_GB2312"/>
          <w:sz w:val="32"/>
          <w:szCs w:val="32"/>
        </w:rPr>
        <w:t>工作</w:t>
      </w:r>
      <w:r>
        <w:rPr>
          <w:rFonts w:eastAsia="仿宋_GB2312"/>
          <w:sz w:val="32"/>
          <w:szCs w:val="32"/>
        </w:rPr>
        <w:t>领导机构和办事机构</w:t>
      </w:r>
      <w:r>
        <w:rPr>
          <w:rFonts w:hint="eastAsia" w:eastAsia="仿宋_GB2312"/>
          <w:sz w:val="32"/>
          <w:szCs w:val="32"/>
        </w:rPr>
        <w:t>，</w:t>
      </w:r>
      <w:r>
        <w:rPr>
          <w:rFonts w:eastAsia="仿宋_GB2312"/>
          <w:sz w:val="32"/>
          <w:szCs w:val="32"/>
        </w:rPr>
        <w:t>理顺工作机制，落实人员和经费，制定管理办法和实施方案。各校</w:t>
      </w:r>
      <w:r>
        <w:rPr>
          <w:rFonts w:hint="eastAsia" w:eastAsia="仿宋_GB2312"/>
          <w:sz w:val="32"/>
          <w:szCs w:val="32"/>
        </w:rPr>
        <w:t>（园）</w:t>
      </w:r>
      <w:r>
        <w:rPr>
          <w:rFonts w:eastAsia="仿宋_GB2312"/>
          <w:sz w:val="32"/>
          <w:szCs w:val="32"/>
        </w:rPr>
        <w:t>要实行校</w:t>
      </w:r>
      <w:r>
        <w:rPr>
          <w:rFonts w:hint="eastAsia" w:eastAsia="仿宋_GB2312"/>
          <w:sz w:val="32"/>
          <w:szCs w:val="32"/>
        </w:rPr>
        <w:t>（园）</w:t>
      </w:r>
      <w:r>
        <w:rPr>
          <w:rFonts w:eastAsia="仿宋_GB2312"/>
          <w:sz w:val="32"/>
          <w:szCs w:val="32"/>
        </w:rPr>
        <w:t>长总负责、分管校</w:t>
      </w:r>
      <w:r>
        <w:rPr>
          <w:rFonts w:hint="eastAsia" w:eastAsia="仿宋_GB2312"/>
          <w:sz w:val="32"/>
          <w:szCs w:val="32"/>
        </w:rPr>
        <w:t>（园）</w:t>
      </w:r>
      <w:r>
        <w:rPr>
          <w:rFonts w:eastAsia="仿宋_GB2312"/>
          <w:sz w:val="32"/>
          <w:szCs w:val="32"/>
        </w:rPr>
        <w:t>长具体负责的工作机制，并成立相应工作小组，确保校园足球</w:t>
      </w:r>
      <w:r>
        <w:rPr>
          <w:rFonts w:hint="eastAsia" w:eastAsia="仿宋_GB2312"/>
          <w:sz w:val="32"/>
          <w:szCs w:val="32"/>
        </w:rPr>
        <w:t>改革发展</w:t>
      </w:r>
      <w:r>
        <w:rPr>
          <w:rFonts w:eastAsia="仿宋_GB2312"/>
          <w:sz w:val="32"/>
          <w:szCs w:val="32"/>
        </w:rPr>
        <w:t>真正落地。</w:t>
      </w:r>
    </w:p>
    <w:p>
      <w:pPr>
        <w:ind w:firstLine="640" w:firstLineChars="200"/>
        <w:rPr>
          <w:rFonts w:ascii="楷体" w:hAnsi="楷体" w:eastAsia="楷体"/>
          <w:sz w:val="32"/>
          <w:szCs w:val="32"/>
        </w:rPr>
      </w:pPr>
      <w:r>
        <w:rPr>
          <w:rFonts w:eastAsia="仿宋_GB2312"/>
          <w:sz w:val="32"/>
          <w:szCs w:val="32"/>
        </w:rPr>
        <w:t>领导小组成员单位要加强合作，认真履行职责。教育部门作为牵头部门，要做好全市青少年校园足球整体规划、统筹协调、指导管理、督导评价等工作。体育部门要发挥人才和资源优势，加强校园足球的技术指导、专业支持和服务。发展改革部门要统筹规划校园足球场地设施建设。财政部门负责制定推动校园足球工作的相关支持政策。文明办和宣传部门加大宣传支持力度，为全社会关注和支持校园足球提供舆论引导。</w:t>
      </w:r>
      <w:r>
        <w:rPr>
          <w:rFonts w:hint="eastAsia" w:eastAsia="仿宋_GB2312"/>
          <w:sz w:val="32"/>
          <w:szCs w:val="32"/>
        </w:rPr>
        <w:t>市培管中心在</w:t>
      </w:r>
      <w:r>
        <w:rPr>
          <w:rFonts w:eastAsia="仿宋_GB2312"/>
          <w:sz w:val="32"/>
          <w:szCs w:val="32"/>
        </w:rPr>
        <w:t>开展</w:t>
      </w:r>
      <w:r>
        <w:rPr>
          <w:rFonts w:hint="eastAsia" w:eastAsia="仿宋_GB2312"/>
          <w:sz w:val="32"/>
          <w:szCs w:val="32"/>
        </w:rPr>
        <w:t>好</w:t>
      </w:r>
      <w:r>
        <w:rPr>
          <w:rFonts w:eastAsia="仿宋_GB2312"/>
          <w:sz w:val="32"/>
          <w:szCs w:val="32"/>
        </w:rPr>
        <w:t>校园足球特色学</w:t>
      </w:r>
      <w:r>
        <w:rPr>
          <w:rFonts w:hint="eastAsia" w:eastAsia="仿宋_GB2312"/>
          <w:sz w:val="32"/>
          <w:szCs w:val="32"/>
        </w:rPr>
        <w:t>校</w:t>
      </w:r>
      <w:r>
        <w:rPr>
          <w:rFonts w:eastAsia="仿宋_GB2312"/>
          <w:sz w:val="32"/>
          <w:szCs w:val="32"/>
        </w:rPr>
        <w:t>培育、普及管理工作</w:t>
      </w:r>
      <w:r>
        <w:rPr>
          <w:rFonts w:hint="eastAsia" w:eastAsia="仿宋_GB2312"/>
          <w:sz w:val="32"/>
          <w:szCs w:val="32"/>
        </w:rPr>
        <w:t>的同时，加强对社会足球青训机构的管理及进校园活动的资格审查，全面开展校园足球技术</w:t>
      </w:r>
      <w:r>
        <w:rPr>
          <w:rFonts w:eastAsia="仿宋_GB2312"/>
          <w:sz w:val="32"/>
          <w:szCs w:val="32"/>
        </w:rPr>
        <w:t>等级</w:t>
      </w:r>
      <w:r>
        <w:rPr>
          <w:rFonts w:hint="eastAsia" w:eastAsia="仿宋_GB2312"/>
          <w:sz w:val="32"/>
          <w:szCs w:val="32"/>
        </w:rPr>
        <w:t>考核等赛事活动。</w:t>
      </w:r>
      <w:r>
        <w:rPr>
          <w:rFonts w:hint="eastAsia" w:ascii="楷体" w:hAnsi="楷体" w:eastAsia="楷体"/>
          <w:sz w:val="32"/>
          <w:szCs w:val="32"/>
        </w:rPr>
        <w:t>（责任单位：校园足球工作领导小组各成员单位）</w:t>
      </w:r>
    </w:p>
    <w:p>
      <w:pPr>
        <w:spacing w:line="360" w:lineRule="auto"/>
        <w:ind w:firstLine="640" w:firstLineChars="200"/>
        <w:rPr>
          <w:rFonts w:hint="eastAsia" w:ascii="楷体_GB2312" w:hAnsi="Calibri" w:eastAsia="楷体_GB2312" w:cs="楷体_GB2312"/>
          <w:sz w:val="32"/>
          <w:szCs w:val="32"/>
        </w:rPr>
      </w:pPr>
      <w:r>
        <w:rPr>
          <w:rFonts w:hint="eastAsia" w:ascii="楷体_GB2312" w:hAnsi="Calibri" w:eastAsia="楷体_GB2312" w:cs="楷体_GB2312"/>
          <w:sz w:val="32"/>
          <w:szCs w:val="32"/>
        </w:rPr>
        <w:t>（二）强化投入保障</w:t>
      </w:r>
    </w:p>
    <w:p>
      <w:pPr>
        <w:ind w:firstLine="640" w:firstLineChars="200"/>
        <w:rPr>
          <w:rFonts w:ascii="仿宋" w:hAnsi="仿宋" w:eastAsia="仿宋" w:cs="仿宋"/>
          <w:strike/>
          <w:sz w:val="32"/>
          <w:szCs w:val="32"/>
        </w:rPr>
      </w:pPr>
      <w:r>
        <w:rPr>
          <w:rFonts w:hint="eastAsia" w:eastAsia="仿宋_GB2312"/>
          <w:sz w:val="32"/>
          <w:szCs w:val="32"/>
        </w:rPr>
        <w:t>积极支持校园足球活动开展，强化投入保障，探索建立政府支持、市场参与、多方筹措的校园足球发展资金投入机制。支持符合条件的项目申报国家和省社会足球场地设施建设等专项资金。鼓励企业、社会资本投资足球场地建设、社会足球俱乐部建设、赛事举办、相关产业发展等。</w:t>
      </w:r>
      <w:r>
        <w:rPr>
          <w:rFonts w:hint="eastAsia" w:ascii="楷体" w:hAnsi="楷体" w:eastAsia="楷体"/>
          <w:sz w:val="32"/>
          <w:szCs w:val="32"/>
        </w:rPr>
        <w:t>（责任单位：市教育局、市财政局、市发改委、中国棋院杭州分院）</w:t>
      </w:r>
    </w:p>
    <w:p>
      <w:pPr>
        <w:spacing w:line="360" w:lineRule="auto"/>
        <w:ind w:firstLine="640" w:firstLineChars="200"/>
        <w:rPr>
          <w:rFonts w:ascii="楷体_GB2312" w:hAnsi="Calibri" w:eastAsia="楷体_GB2312" w:cs="楷体_GB2312"/>
          <w:sz w:val="32"/>
          <w:szCs w:val="32"/>
        </w:rPr>
      </w:pPr>
      <w:r>
        <w:rPr>
          <w:rFonts w:hint="eastAsia" w:ascii="楷体_GB2312" w:hAnsi="Calibri" w:eastAsia="楷体_GB2312" w:cs="楷体_GB2312"/>
          <w:sz w:val="32"/>
          <w:szCs w:val="32"/>
        </w:rPr>
        <w:t>（三）营造舆论环境</w:t>
      </w:r>
    </w:p>
    <w:p>
      <w:pPr>
        <w:ind w:firstLine="640" w:firstLineChars="200"/>
        <w:rPr>
          <w:rFonts w:ascii="楷体" w:hAnsi="楷体" w:eastAsia="楷体"/>
          <w:sz w:val="32"/>
          <w:szCs w:val="32"/>
        </w:rPr>
      </w:pPr>
      <w:r>
        <w:rPr>
          <w:rFonts w:hint="eastAsia" w:eastAsia="仿宋_GB2312"/>
          <w:sz w:val="32"/>
          <w:szCs w:val="32"/>
        </w:rPr>
        <w:t>创新足球宣传方式，加强足球新闻管理、网络信息和舆论引导工作，提高社会对发展足球运动重要性的认识，营造有利于足球发展的良好舆论氛围和社会环境。充分运用各类媒体和现代化信息手段，加强区、校（园）新媒体建设和与相关媒体平台的合作，开办校园足球专栏，做好校园足球新闻和信息传播，弘扬足球文化，引导师生、家长参与足球运动的激情。落实财政经费补助，整合场馆资源，全力打造青少年学生校园足球第二课堂行动计划，为全市中小学生开展课外足球实践活动提供丰富的活动平台，建设校园足球第二课堂“杭州模式”。加大足球发展特色地区、校园足球典型示范经验的宣传力度，增强学生、家长对足球的认同感，培育足球文化，在全市上下形成共同推进校园足球运动的发展合力，促进校园足球运动健康有序发展。</w:t>
      </w:r>
      <w:r>
        <w:rPr>
          <w:rFonts w:hint="eastAsia" w:ascii="楷体" w:hAnsi="楷体" w:eastAsia="楷体"/>
          <w:sz w:val="32"/>
          <w:szCs w:val="32"/>
        </w:rPr>
        <w:t>（责任单位：共青团杭州市委、市教育局、市委宣传部（市文明办）、杭州日报报业集团、杭州文化广播电视集团）</w:t>
      </w:r>
    </w:p>
    <w:p>
      <w:pPr>
        <w:spacing w:line="360" w:lineRule="auto"/>
        <w:ind w:firstLine="640" w:firstLineChars="200"/>
        <w:rPr>
          <w:rFonts w:ascii="楷体_GB2312" w:hAnsi="Calibri" w:eastAsia="楷体_GB2312" w:cs="楷体_GB2312"/>
          <w:sz w:val="32"/>
          <w:szCs w:val="32"/>
        </w:rPr>
      </w:pPr>
      <w:r>
        <w:rPr>
          <w:rFonts w:hint="eastAsia" w:ascii="楷体_GB2312" w:hAnsi="Calibri" w:eastAsia="楷体_GB2312" w:cs="楷体_GB2312"/>
          <w:sz w:val="32"/>
          <w:szCs w:val="32"/>
        </w:rPr>
        <w:t>（四）</w:t>
      </w:r>
      <w:r>
        <w:rPr>
          <w:rFonts w:ascii="楷体_GB2312" w:hAnsi="Calibri" w:eastAsia="楷体_GB2312" w:cs="楷体_GB2312"/>
          <w:sz w:val="32"/>
          <w:szCs w:val="32"/>
        </w:rPr>
        <w:t>深化教学改革</w:t>
      </w:r>
    </w:p>
    <w:p>
      <w:pPr>
        <w:spacing w:line="360" w:lineRule="auto"/>
        <w:ind w:firstLine="640" w:firstLineChars="200"/>
        <w:rPr>
          <w:rFonts w:ascii="仿宋" w:hAnsi="仿宋" w:eastAsia="仿宋" w:cs="仿宋"/>
          <w:sz w:val="32"/>
          <w:szCs w:val="32"/>
        </w:rPr>
      </w:pPr>
      <w:r>
        <w:rPr>
          <w:rFonts w:hint="eastAsia" w:eastAsia="仿宋_GB2312"/>
          <w:sz w:val="32"/>
          <w:szCs w:val="32"/>
        </w:rPr>
        <w:t>根据《浙江省义务教育体育与健康课程指导纲要》标准和要求，将足球纳入学校体育课程教学体系。各级校园足球特色学校每周开齐开足1节足球课，部分特色学校达到每周2节，并率先实施足球校本课程计划。高中学校完善足球选修课程教学，将校园足球列入阳光体育活动内容，作为“每天锻炼1小时”的运动项目之一，在大课间、课外活动中广泛开展。鼓励和支持中小学校结合实际，创造条件，建立多样化足球教学模式，积极探索校园足球校本课程标准和学生运动水平评价标准，为学生参与运动、培养兴趣、发展特长提供平台。</w:t>
      </w:r>
      <w:r>
        <w:rPr>
          <w:rFonts w:hint="eastAsia" w:ascii="楷体" w:hAnsi="楷体" w:eastAsia="楷体"/>
          <w:sz w:val="32"/>
          <w:szCs w:val="32"/>
        </w:rPr>
        <w:t>（责任单位：市教育局、市体育局、中国棋院杭州分院、）</w:t>
      </w:r>
    </w:p>
    <w:p>
      <w:pPr>
        <w:spacing w:line="360" w:lineRule="auto"/>
        <w:ind w:firstLine="640" w:firstLineChars="200"/>
        <w:rPr>
          <w:rFonts w:ascii="楷体_GB2312" w:hAnsi="Calibri" w:eastAsia="楷体_GB2312" w:cs="楷体_GB2312"/>
          <w:sz w:val="32"/>
          <w:szCs w:val="32"/>
        </w:rPr>
      </w:pPr>
      <w:r>
        <w:rPr>
          <w:rFonts w:hint="eastAsia" w:ascii="楷体_GB2312" w:hAnsi="Calibri" w:eastAsia="楷体_GB2312" w:cs="楷体_GB2312"/>
          <w:sz w:val="32"/>
          <w:szCs w:val="32"/>
        </w:rPr>
        <w:t>（五）</w:t>
      </w:r>
      <w:r>
        <w:rPr>
          <w:rFonts w:ascii="楷体_GB2312" w:hAnsi="Calibri" w:eastAsia="楷体_GB2312" w:cs="楷体_GB2312"/>
          <w:sz w:val="32"/>
          <w:szCs w:val="32"/>
        </w:rPr>
        <w:t>强化师资培训</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实</w:t>
      </w:r>
      <w:r>
        <w:rPr>
          <w:rFonts w:hint="eastAsia" w:eastAsia="仿宋_GB2312"/>
          <w:sz w:val="32"/>
          <w:szCs w:val="32"/>
        </w:rPr>
        <w:t>行分级管理分级培训，每年举办2期市级校园足球骨干教师培训，各区、县（市）每年举办小学、初中各1期校园足球骨干教师培训；每年组织一批体育骨干教师赴国外接受校园足球专项培训，</w:t>
      </w:r>
      <w:r>
        <w:rPr>
          <w:rFonts w:eastAsia="仿宋_GB2312"/>
          <w:sz w:val="32"/>
          <w:szCs w:val="32"/>
        </w:rPr>
        <w:t>积极引进国外知名俱乐部优质资源，开展校园足球师资专项培训</w:t>
      </w:r>
      <w:r>
        <w:rPr>
          <w:rFonts w:hint="eastAsia" w:eastAsia="仿宋_GB2312"/>
          <w:sz w:val="32"/>
          <w:szCs w:val="32"/>
        </w:rPr>
        <w:t>；积极与“杭州市校园足球青训机构名录”内社会足球青训机构（俱乐部）全面合作，开展校园足球师资辅助培训，满足全市中小学开展校园足球活动需要，为全面推进校园足球发展提供有力的师资保障。（</w:t>
      </w:r>
      <w:r>
        <w:rPr>
          <w:rFonts w:hint="eastAsia" w:ascii="楷体" w:hAnsi="楷体" w:eastAsia="楷体"/>
          <w:sz w:val="32"/>
          <w:szCs w:val="32"/>
        </w:rPr>
        <w:t>责任单位：市教育局、市体育局、中国棋院杭州分院）</w:t>
      </w:r>
    </w:p>
    <w:p>
      <w:pPr>
        <w:spacing w:line="360" w:lineRule="auto"/>
        <w:ind w:firstLine="640" w:firstLineChars="200"/>
        <w:rPr>
          <w:rFonts w:ascii="楷体" w:hAnsi="楷体" w:eastAsia="楷体" w:cs="仿宋"/>
          <w:sz w:val="32"/>
          <w:szCs w:val="32"/>
        </w:rPr>
      </w:pPr>
      <w:r>
        <w:rPr>
          <w:rFonts w:hint="eastAsia" w:ascii="楷体" w:hAnsi="楷体" w:eastAsia="楷体" w:cs="仿宋"/>
          <w:sz w:val="32"/>
          <w:szCs w:val="32"/>
        </w:rPr>
        <w:t>（六）充分调动</w:t>
      </w:r>
      <w:r>
        <w:rPr>
          <w:rFonts w:ascii="楷体" w:hAnsi="楷体" w:eastAsia="楷体" w:cs="仿宋"/>
          <w:sz w:val="32"/>
          <w:szCs w:val="32"/>
        </w:rPr>
        <w:t>积极性。</w:t>
      </w:r>
    </w:p>
    <w:p>
      <w:pPr>
        <w:spacing w:line="360" w:lineRule="auto"/>
        <w:ind w:firstLine="640" w:firstLineChars="200"/>
        <w:rPr>
          <w:rFonts w:ascii="仿宋" w:hAnsi="仿宋" w:eastAsia="仿宋" w:cs="仿宋"/>
          <w:sz w:val="32"/>
          <w:szCs w:val="32"/>
        </w:rPr>
      </w:pPr>
      <w:r>
        <w:rPr>
          <w:rFonts w:hint="eastAsia" w:eastAsia="仿宋_GB2312"/>
          <w:sz w:val="32"/>
          <w:szCs w:val="32"/>
        </w:rPr>
        <w:t>体育教师开展体育教学和足球训练及活动计入工作量，保障体育教师在评优评先、工资待遇、职务评聘等方面享受同等待遇。对优秀校园足球特色学校、优秀校园足球运动队、校园足球阳光少年和优秀校园足球教练员、教师、校长、家长等进行表彰和宣传，提升校园足球工作者的影响力和荣誉感。</w:t>
      </w:r>
      <w:r>
        <w:rPr>
          <w:rFonts w:hint="eastAsia" w:ascii="楷体" w:hAnsi="楷体" w:eastAsia="楷体"/>
          <w:sz w:val="32"/>
          <w:szCs w:val="32"/>
        </w:rPr>
        <w:t>（责任单位：市教育局、市体育局、中国棋院杭州分院、杭州日报报业集团、杭州文化广播电视集团）</w:t>
      </w:r>
    </w:p>
    <w:p>
      <w:pPr>
        <w:spacing w:line="360" w:lineRule="auto"/>
        <w:ind w:firstLine="640" w:firstLineChars="200"/>
        <w:rPr>
          <w:rFonts w:ascii="楷体" w:hAnsi="楷体" w:eastAsia="楷体" w:cs="仿宋"/>
          <w:sz w:val="32"/>
          <w:szCs w:val="32"/>
        </w:rPr>
      </w:pPr>
      <w:r>
        <w:rPr>
          <w:rFonts w:hint="eastAsia" w:ascii="楷体" w:hAnsi="楷体" w:eastAsia="楷体" w:cs="仿宋"/>
          <w:sz w:val="32"/>
          <w:szCs w:val="32"/>
        </w:rPr>
        <w:t>（七）</w:t>
      </w:r>
      <w:r>
        <w:rPr>
          <w:rFonts w:ascii="楷体" w:hAnsi="楷体" w:eastAsia="楷体" w:cs="仿宋"/>
          <w:sz w:val="32"/>
          <w:szCs w:val="32"/>
        </w:rPr>
        <w:t>创新</w:t>
      </w:r>
      <w:r>
        <w:rPr>
          <w:rFonts w:hint="eastAsia" w:ascii="楷体" w:hAnsi="楷体" w:eastAsia="楷体" w:cs="仿宋"/>
          <w:sz w:val="32"/>
          <w:szCs w:val="32"/>
        </w:rPr>
        <w:t>发展</w:t>
      </w:r>
      <w:r>
        <w:rPr>
          <w:rFonts w:ascii="楷体" w:hAnsi="楷体" w:eastAsia="楷体" w:cs="仿宋"/>
          <w:sz w:val="32"/>
          <w:szCs w:val="32"/>
        </w:rPr>
        <w:t>模式</w:t>
      </w:r>
    </w:p>
    <w:p>
      <w:pPr>
        <w:spacing w:line="360" w:lineRule="auto"/>
        <w:ind w:firstLine="640" w:firstLineChars="200"/>
        <w:rPr>
          <w:rFonts w:ascii="仿宋" w:hAnsi="仿宋" w:eastAsia="仿宋" w:cs="仿宋"/>
          <w:sz w:val="32"/>
          <w:szCs w:val="32"/>
        </w:rPr>
      </w:pPr>
      <w:r>
        <w:rPr>
          <w:rFonts w:hint="eastAsia" w:eastAsia="仿宋_GB2312"/>
          <w:sz w:val="32"/>
          <w:szCs w:val="32"/>
        </w:rPr>
        <w:t>大力开展丰富多样的赛事，增加校园足球趣味性和参与度。完善市和区（县、市）二级校园足球联赛体系，建立校园足球课余训练机制、运动员信息管理平台代表队管理制度。选择足球场地及设施完备、具备足球特色人才培养教学管理体系的优质学校或单位，创建市级校园足球青训基地和校园足球技术考核基地。创新合作模式，实施与“杭州市校园足球青训机构名录”内社会足球青训机构（俱乐部）合作计划，联合战略合作伙伴启动校园足球技术等级考核活动，进一步开展校园足球各年龄段精英训练营活动，结合区队联办、市队联办，构建小学、初中和高中有序衔接的特长学生成长通道，为具有足球天赋并爱好足球的学生提供成长培训计划。</w:t>
      </w:r>
      <w:r>
        <w:rPr>
          <w:rFonts w:hint="eastAsia" w:ascii="楷体" w:hAnsi="楷体" w:eastAsia="楷体"/>
          <w:sz w:val="32"/>
          <w:szCs w:val="32"/>
        </w:rPr>
        <w:t>（责任单位：市教育局、市体育局、中国棋院杭州分院</w:t>
      </w:r>
      <w:r>
        <w:rPr>
          <w:rFonts w:hint="eastAsia" w:ascii="仿宋" w:hAnsi="仿宋" w:eastAsia="仿宋" w:cs="仿宋"/>
          <w:sz w:val="32"/>
          <w:szCs w:val="32"/>
        </w:rPr>
        <w:t>）</w:t>
      </w:r>
    </w:p>
    <w:p>
      <w:pPr>
        <w:spacing w:line="360" w:lineRule="auto"/>
        <w:ind w:firstLine="640" w:firstLineChars="200"/>
        <w:rPr>
          <w:rFonts w:ascii="楷体" w:hAnsi="楷体" w:eastAsia="楷体" w:cs="仿宋"/>
          <w:sz w:val="32"/>
          <w:szCs w:val="32"/>
        </w:rPr>
      </w:pPr>
      <w:r>
        <w:rPr>
          <w:rFonts w:hint="eastAsia" w:ascii="楷体" w:hAnsi="楷体" w:eastAsia="楷体" w:cs="仿宋"/>
          <w:sz w:val="32"/>
          <w:szCs w:val="32"/>
        </w:rPr>
        <w:t>（八）</w:t>
      </w:r>
      <w:r>
        <w:rPr>
          <w:rFonts w:ascii="楷体" w:hAnsi="楷体" w:eastAsia="楷体" w:cs="仿宋"/>
          <w:sz w:val="32"/>
          <w:szCs w:val="32"/>
        </w:rPr>
        <w:t>加强场地建设</w:t>
      </w:r>
    </w:p>
    <w:p>
      <w:pPr>
        <w:spacing w:line="360" w:lineRule="auto"/>
        <w:ind w:firstLine="640" w:firstLineChars="200"/>
        <w:rPr>
          <w:rFonts w:ascii="仿宋" w:hAnsi="仿宋" w:eastAsia="仿宋" w:cs="仿宋"/>
          <w:sz w:val="32"/>
          <w:szCs w:val="32"/>
        </w:rPr>
      </w:pPr>
      <w:r>
        <w:rPr>
          <w:rFonts w:hint="eastAsia" w:eastAsia="仿宋_GB2312"/>
          <w:sz w:val="32"/>
          <w:szCs w:val="32"/>
        </w:rPr>
        <w:t>加大学校体育场地设施的规划、建设和改造力度，有条件的学校按标准建设足球运动场，条件尚不具备的学校可建设满足五至七人的小型球场或笼式足球场地。</w:t>
      </w:r>
      <w:r>
        <w:rPr>
          <w:rFonts w:eastAsia="仿宋_GB2312"/>
          <w:sz w:val="32"/>
          <w:szCs w:val="32"/>
        </w:rPr>
        <w:t>积极鼓励社会力量参与或政府购买服务等方式建设校园足球场馆设施。</w:t>
      </w:r>
      <w:r>
        <w:rPr>
          <w:rFonts w:hint="eastAsia" w:eastAsia="仿宋_GB2312"/>
          <w:sz w:val="32"/>
          <w:szCs w:val="32"/>
        </w:rPr>
        <w:t>创新校园足球场地管理模式，统筹规划、整合学校和社会体育场地设施资源，为校园足球运动提供场地保障，努力形成新建场地、学校和社会公共体育设施共享共用机制。（</w:t>
      </w:r>
      <w:r>
        <w:rPr>
          <w:rFonts w:hint="eastAsia" w:ascii="楷体" w:hAnsi="楷体" w:eastAsia="楷体"/>
          <w:sz w:val="32"/>
          <w:szCs w:val="32"/>
        </w:rPr>
        <w:t>责任单位：市发改委、市财政局、市教育局、市体育局、中国棋院杭州分院</w:t>
      </w:r>
      <w:r>
        <w:rPr>
          <w:rFonts w:hint="eastAsia" w:ascii="仿宋" w:hAnsi="仿宋" w:eastAsia="仿宋" w:cs="仿宋"/>
          <w:sz w:val="32"/>
          <w:szCs w:val="32"/>
        </w:rPr>
        <w:t>）</w:t>
      </w:r>
    </w:p>
    <w:p>
      <w:pPr>
        <w:spacing w:line="360" w:lineRule="auto"/>
        <w:ind w:firstLine="640" w:firstLineChars="200"/>
        <w:rPr>
          <w:rFonts w:ascii="楷体" w:hAnsi="楷体" w:eastAsia="楷体" w:cs="仿宋"/>
          <w:sz w:val="32"/>
          <w:szCs w:val="32"/>
        </w:rPr>
      </w:pPr>
      <w:r>
        <w:rPr>
          <w:rFonts w:hint="eastAsia" w:ascii="楷体" w:hAnsi="楷体" w:eastAsia="楷体" w:cs="仿宋"/>
          <w:sz w:val="32"/>
          <w:szCs w:val="32"/>
        </w:rPr>
        <w:t>（九）</w:t>
      </w:r>
      <w:r>
        <w:rPr>
          <w:rFonts w:ascii="楷体" w:hAnsi="楷体" w:eastAsia="楷体" w:cs="仿宋"/>
          <w:sz w:val="32"/>
          <w:szCs w:val="32"/>
        </w:rPr>
        <w:t>健全保障制度</w:t>
      </w:r>
    </w:p>
    <w:p>
      <w:pPr>
        <w:spacing w:line="360" w:lineRule="auto"/>
        <w:ind w:firstLine="640" w:firstLineChars="200"/>
        <w:rPr>
          <w:rFonts w:ascii="仿宋" w:hAnsi="仿宋" w:eastAsia="仿宋" w:cs="仿宋"/>
          <w:sz w:val="32"/>
          <w:szCs w:val="32"/>
        </w:rPr>
      </w:pPr>
      <w:r>
        <w:rPr>
          <w:rFonts w:hint="eastAsia" w:eastAsia="仿宋_GB2312"/>
          <w:sz w:val="32"/>
          <w:szCs w:val="32"/>
        </w:rPr>
        <w:t>要提高校园足球安全责任意识和风险防控能力，建立健全安全防范制度和应急实施预案，落实《学校体育运动风险防控暂行办法》，完善政府购买学生体育运动伤害险办法，建立学生运动意外伤害事故第三方调解机制，确保校园足球安全有序开展。建立校园足球工作督导工作机制，定期进行督导检查，对校园足球办学条件、师资队伍、教学质量等方面进行动态管理。</w:t>
      </w:r>
      <w:r>
        <w:rPr>
          <w:rFonts w:hint="eastAsia" w:ascii="楷体" w:hAnsi="楷体" w:eastAsia="楷体"/>
          <w:sz w:val="32"/>
          <w:szCs w:val="32"/>
        </w:rPr>
        <w:t>（责任单位：市校足办、市培管中心）</w:t>
      </w:r>
    </w:p>
    <w:p>
      <w:pPr>
        <w:spacing w:line="360" w:lineRule="auto"/>
        <w:ind w:firstLine="640" w:firstLineChars="200"/>
        <w:outlineLvl w:val="1"/>
        <w:rPr>
          <w:rFonts w:ascii="楷体" w:hAnsi="楷体" w:eastAsia="楷体" w:cs="仿宋"/>
          <w:sz w:val="32"/>
          <w:szCs w:val="32"/>
        </w:rPr>
      </w:pPr>
      <w:r>
        <w:rPr>
          <w:rFonts w:hint="eastAsia" w:ascii="楷体" w:hAnsi="楷体" w:eastAsia="楷体" w:cs="仿宋"/>
          <w:sz w:val="32"/>
          <w:szCs w:val="32"/>
        </w:rPr>
        <w:t>（十）促进交流合作</w:t>
      </w:r>
    </w:p>
    <w:p>
      <w:pPr>
        <w:spacing w:line="360" w:lineRule="auto"/>
        <w:ind w:firstLine="640" w:firstLineChars="200"/>
        <w:rPr>
          <w:rFonts w:hint="eastAsia" w:ascii="仿宋" w:hAnsi="仿宋" w:eastAsia="仿宋" w:cs="仿宋"/>
          <w:sz w:val="32"/>
          <w:szCs w:val="32"/>
        </w:rPr>
      </w:pPr>
      <w:r>
        <w:rPr>
          <w:rFonts w:hint="eastAsia" w:eastAsia="仿宋_GB2312"/>
          <w:sz w:val="32"/>
          <w:szCs w:val="32"/>
        </w:rPr>
        <w:t>积极开展与足球发达国家和地区的全面交流合作。对标全球著名体育城市，积极吸引海内外高水平足球人才，特别是在专业人才培训、青少年培训等领域能力突出的足球专业人才来杭工作，开展校园足球技术和文化交流。积极组织输送青少年队伍到足球先进国家和地区职业俱乐部进行交流、学习和比赛，扩大杭州校园足球影响力。鼓励社会力量举办国际性、全国性的校园足球文化交流活动。</w:t>
      </w:r>
      <w:r>
        <w:rPr>
          <w:rFonts w:hint="eastAsia" w:ascii="楷体" w:hAnsi="楷体" w:eastAsia="楷体"/>
          <w:sz w:val="32"/>
          <w:szCs w:val="32"/>
        </w:rPr>
        <w:t>（责任单位：市教育局、市体育局、中国棋院杭州分院</w:t>
      </w:r>
      <w:r>
        <w:rPr>
          <w:rFonts w:hint="eastAsia" w:ascii="仿宋" w:hAnsi="仿宋" w:eastAsia="仿宋" w:cs="仿宋"/>
          <w:sz w:val="32"/>
          <w:szCs w:val="32"/>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F2CA2"/>
    <w:rsid w:val="00E450EE"/>
    <w:rsid w:val="00EF2CA2"/>
    <w:rsid w:val="34277412"/>
    <w:rsid w:val="513A162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9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rFonts w:ascii="Calibri" w:hAnsi="Calibri" w:cs="Calibri"/>
      <w:b/>
      <w:bCs/>
      <w:kern w:val="44"/>
      <w:sz w:val="44"/>
      <w:szCs w:val="44"/>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5">
    <w:name w:val="toc 1"/>
    <w:basedOn w:val="1"/>
    <w:next w:val="1"/>
    <w:semiHidden/>
    <w:uiPriority w:val="0"/>
  </w:style>
  <w:style w:type="paragraph" w:styleId="6">
    <w:name w:val="toc 2"/>
    <w:basedOn w:val="1"/>
    <w:next w:val="1"/>
    <w:semiHidden/>
    <w:qFormat/>
    <w:uiPriority w:val="99"/>
    <w:pPr>
      <w:ind w:left="420" w:leftChars="200"/>
    </w:pPr>
    <w:rPr>
      <w:rFonts w:eastAsia="楷体_GB2312"/>
      <w:sz w:val="30"/>
      <w:szCs w:val="30"/>
    </w:rPr>
  </w:style>
  <w:style w:type="paragraph" w:styleId="7">
    <w:name w:val="Normal (Web)"/>
    <w:basedOn w:val="1"/>
    <w:qFormat/>
    <w:uiPriority w:val="99"/>
    <w:pPr>
      <w:spacing w:before="100" w:beforeAutospacing="1" w:after="100" w:afterAutospacing="1"/>
    </w:pPr>
    <w:rPr>
      <w:rFonts w:ascii="宋体" w:hAnsi="宋体" w:cs="宋体"/>
    </w:rPr>
  </w:style>
  <w:style w:type="character" w:styleId="9">
    <w:name w:val="Hyperlink"/>
    <w:basedOn w:val="8"/>
    <w:uiPriority w:val="0"/>
    <w:rPr>
      <w:color w:val="0000EE"/>
      <w:u w:val="single"/>
      <w:shd w:val="clear" w:color="auto" w:fill="auto"/>
    </w:rPr>
  </w:style>
  <w:style w:type="character" w:customStyle="1" w:styleId="11">
    <w:name w:val="页眉 Char"/>
    <w:basedOn w:val="8"/>
    <w:link w:val="4"/>
    <w:semiHidden/>
    <w:uiPriority w:val="99"/>
    <w:rPr>
      <w:sz w:val="18"/>
      <w:szCs w:val="18"/>
    </w:rPr>
  </w:style>
  <w:style w:type="character" w:customStyle="1" w:styleId="12">
    <w:name w:val="页脚 Char"/>
    <w:basedOn w:val="8"/>
    <w:link w:val="3"/>
    <w:semiHidden/>
    <w:uiPriority w:val="99"/>
    <w:rPr>
      <w:sz w:val="18"/>
      <w:szCs w:val="18"/>
    </w:rPr>
  </w:style>
  <w:style w:type="character" w:customStyle="1" w:styleId="13">
    <w:name w:val="标题 1 Char"/>
    <w:basedOn w:val="8"/>
    <w:link w:val="2"/>
    <w:uiPriority w:val="99"/>
    <w:rPr>
      <w:rFonts w:ascii="Calibri" w:hAnsi="Calibri" w:eastAsia="宋体" w:cs="Calibr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2515</Words>
  <Characters>14340</Characters>
  <Lines>119</Lines>
  <Paragraphs>33</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2021-07-12T08:34:00Z</dcterms:created>
  <dc:creator>Lenovo</dc:creator>
  <cp:lastModifiedBy>信息专用</cp:lastModifiedBy>
  <dcterms:modified xsi:type="dcterms:W3CDTF">2023-05-24T11:09:36Z</dcterms:modified>
  <dc:title>杭州市校园足球发展““十四五””规划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