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E3" w:rsidRDefault="00141AE3" w:rsidP="00141AE3">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附件1</w:t>
      </w:r>
    </w:p>
    <w:p w:rsidR="00141AE3" w:rsidRDefault="00141AE3" w:rsidP="00141AE3">
      <w:pPr>
        <w:adjustRightInd w:val="0"/>
        <w:snapToGrid w:val="0"/>
        <w:spacing w:line="360" w:lineRule="auto"/>
        <w:rPr>
          <w:rFonts w:ascii="黑体" w:eastAsia="黑体" w:hAnsi="黑体" w:cs="黑体" w:hint="eastAsia"/>
          <w:sz w:val="32"/>
          <w:szCs w:val="32"/>
        </w:rPr>
      </w:pPr>
    </w:p>
    <w:p w:rsidR="00141AE3" w:rsidRDefault="00141AE3" w:rsidP="00141AE3">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足球20米直线运球绕杆接射门项目要求</w:t>
      </w:r>
    </w:p>
    <w:p w:rsidR="00141AE3" w:rsidRDefault="00141AE3" w:rsidP="00141AE3">
      <w:pPr>
        <w:adjustRightInd w:val="0"/>
        <w:snapToGrid w:val="0"/>
        <w:spacing w:line="360" w:lineRule="auto"/>
        <w:rPr>
          <w:rFonts w:eastAsia="仿宋_GB2312"/>
          <w:sz w:val="32"/>
          <w:szCs w:val="32"/>
        </w:rPr>
      </w:pPr>
    </w:p>
    <w:p w:rsidR="00141AE3" w:rsidRDefault="00141AE3" w:rsidP="00141AE3">
      <w:pPr>
        <w:ind w:firstLineChars="202" w:firstLine="646"/>
        <w:jc w:val="left"/>
        <w:rPr>
          <w:rFonts w:ascii="黑体" w:eastAsia="黑体" w:hAnsi="黑体" w:cs="黑体" w:hint="eastAsia"/>
          <w:sz w:val="32"/>
          <w:szCs w:val="32"/>
        </w:rPr>
      </w:pPr>
      <w:r>
        <w:rPr>
          <w:rFonts w:ascii="黑体" w:eastAsia="黑体" w:hAnsi="黑体" w:cs="黑体" w:hint="eastAsia"/>
          <w:sz w:val="32"/>
          <w:szCs w:val="32"/>
        </w:rPr>
        <w:t>一 、 场地设置：如图</w:t>
      </w:r>
    </w:p>
    <w:p w:rsidR="00141AE3" w:rsidRDefault="00141AE3" w:rsidP="00141AE3">
      <w:pPr>
        <w:ind w:firstLineChars="202" w:firstLine="646"/>
        <w:jc w:val="left"/>
        <w:rPr>
          <w:rFonts w:ascii="宋体" w:hAnsi="宋体" w:cs="宋体" w:hint="eastAsia"/>
          <w:sz w:val="32"/>
          <w:szCs w:val="32"/>
        </w:rPr>
      </w:pPr>
      <w:r>
        <w:rPr>
          <w:rFonts w:ascii="宋体" w:hAnsi="宋体" w:cs="宋体" w:hint="eastAsia"/>
          <w:noProof/>
          <w:sz w:val="32"/>
          <w:szCs w:val="32"/>
        </w:rPr>
        <w:drawing>
          <wp:inline distT="0" distB="0" distL="0" distR="0">
            <wp:extent cx="5276850" cy="15367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5276850" cy="1536700"/>
                    </a:xfrm>
                    <a:prstGeom prst="rect">
                      <a:avLst/>
                    </a:prstGeom>
                    <a:noFill/>
                    <a:ln w="9525">
                      <a:noFill/>
                      <a:miter lim="800000"/>
                      <a:headEnd/>
                      <a:tailEnd/>
                    </a:ln>
                  </pic:spPr>
                </pic:pic>
              </a:graphicData>
            </a:graphic>
          </wp:inline>
        </w:drawing>
      </w:r>
    </w:p>
    <w:p w:rsidR="00141AE3" w:rsidRDefault="00141AE3" w:rsidP="00141AE3">
      <w:pPr>
        <w:ind w:firstLineChars="202" w:firstLine="646"/>
        <w:jc w:val="left"/>
        <w:rPr>
          <w:rFonts w:ascii="宋体" w:hAnsi="宋体" w:cs="宋体" w:hint="eastAsia"/>
          <w:sz w:val="32"/>
          <w:szCs w:val="32"/>
        </w:rPr>
      </w:pPr>
      <w:r>
        <w:rPr>
          <w:rFonts w:ascii="黑体" w:eastAsia="黑体" w:hAnsi="黑体" w:cs="黑体" w:hint="eastAsia"/>
          <w:sz w:val="32"/>
          <w:szCs w:val="32"/>
        </w:rPr>
        <w:t>二、 场地器材</w:t>
      </w:r>
    </w:p>
    <w:p w:rsidR="00141AE3" w:rsidRDefault="00141AE3" w:rsidP="00141AE3">
      <w:pPr>
        <w:ind w:firstLineChars="202" w:firstLine="646"/>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测试场地:平整场地或足球场；如图所示，测试区域长28米，宽6米，从球门线中点垂直向场内延伸25米处，画一条平行于球门线的横线作为起点线。距球门线8米处起，延垂线共设8根标志杆，各杆间距2米。标志杆高不低于1.5米。</w:t>
      </w:r>
    </w:p>
    <w:p w:rsidR="00141AE3" w:rsidRDefault="00141AE3" w:rsidP="00141AE3">
      <w:pPr>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2.足球门：宽3米，高2米</w:t>
      </w:r>
    </w:p>
    <w:p w:rsidR="00141AE3" w:rsidRDefault="00141AE3" w:rsidP="00141AE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3.测试用球：小学组为4号标准比赛用球，初中组及高中组为5号标准比赛用球。</w:t>
      </w:r>
    </w:p>
    <w:p w:rsidR="00141AE3" w:rsidRDefault="00141AE3" w:rsidP="00141AE3">
      <w:pPr>
        <w:ind w:firstLineChars="202" w:firstLine="646"/>
        <w:rPr>
          <w:rFonts w:ascii="仿宋_GB2312" w:eastAsia="仿宋_GB2312" w:hAnsi="仿宋_GB2312" w:cs="仿宋_GB2312" w:hint="eastAsia"/>
          <w:sz w:val="32"/>
          <w:szCs w:val="32"/>
        </w:rPr>
      </w:pPr>
      <w:r>
        <w:rPr>
          <w:rFonts w:ascii="黑体" w:eastAsia="黑体" w:hAnsi="黑体" w:cs="黑体" w:hint="eastAsia"/>
          <w:sz w:val="32"/>
          <w:szCs w:val="32"/>
        </w:rPr>
        <w:t>三、测试办法</w:t>
      </w:r>
      <w:r>
        <w:rPr>
          <w:rFonts w:ascii="黑体" w:eastAsia="黑体" w:hAnsi="黑体" w:cs="黑体" w:hint="eastAsia"/>
          <w:sz w:val="32"/>
          <w:szCs w:val="32"/>
        </w:rPr>
        <w:cr/>
        <w:t xml:space="preserve">    </w:t>
      </w:r>
      <w:r>
        <w:rPr>
          <w:rFonts w:ascii="仿宋_GB2312" w:eastAsia="仿宋_GB2312" w:hAnsi="仿宋_GB2312" w:cs="仿宋_GB2312" w:hint="eastAsia"/>
          <w:sz w:val="32"/>
          <w:szCs w:val="32"/>
        </w:rPr>
        <w:t>1．受测学生在起点线后准备（球放在起始线上成静止状态），听指令开始运球。指令响开表计时，受测学生运球向前，依次绕</w:t>
      </w:r>
      <w:r>
        <w:rPr>
          <w:rFonts w:ascii="仿宋_GB2312" w:eastAsia="仿宋_GB2312" w:hAnsi="仿宋_GB2312" w:cs="仿宋_GB2312" w:hint="eastAsia"/>
          <w:sz w:val="32"/>
          <w:szCs w:val="32"/>
        </w:rPr>
        <w:lastRenderedPageBreak/>
        <w:t>过8个标志杆，当球的整体越过球门线时停表，记录完成时间。凡出现抢跑、手球、漏杆、撞倒标志杆，射门偏出球门，球击中横梁或立柱弹出，均属无效，不计成绩，每人测试两次，取最好成绩。</w:t>
      </w:r>
    </w:p>
    <w:p w:rsidR="00141AE3" w:rsidRDefault="00141AE3" w:rsidP="00141AE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2.受测学生在测试中受场外因素干扰，测试员可根据测试实际情况允许受测学生进行补测。</w:t>
      </w:r>
    </w:p>
    <w:p w:rsidR="00141AE3" w:rsidRDefault="00141AE3" w:rsidP="00141AE3">
      <w:pPr>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3.时间以秒为单位记录测试成绩，精确到小数点后1位（0.1秒），四舍五入。</w:t>
      </w:r>
    </w:p>
    <w:p w:rsidR="00141AE3" w:rsidRDefault="00141AE3" w:rsidP="00141AE3">
      <w:pPr>
        <w:rPr>
          <w:rFonts w:ascii="仿宋_GB2312" w:eastAsia="仿宋_GB2312" w:hAnsi="仿宋_GB2312" w:cs="仿宋_GB2312" w:hint="eastAsia"/>
          <w:sz w:val="32"/>
          <w:szCs w:val="32"/>
        </w:rPr>
      </w:pPr>
      <w:r>
        <w:rPr>
          <w:rFonts w:ascii="黑体" w:eastAsia="黑体" w:hAnsi="黑体" w:cs="黑体" w:hint="eastAsia"/>
          <w:sz w:val="32"/>
          <w:szCs w:val="32"/>
        </w:rPr>
        <w:t xml:space="preserve">    四、评分标准</w:t>
      </w:r>
      <w:r>
        <w:rPr>
          <w:rFonts w:ascii="仿宋_GB2312" w:eastAsia="仿宋_GB2312" w:hAnsi="仿宋_GB2312" w:cs="仿宋_GB2312" w:hint="eastAsia"/>
          <w:sz w:val="32"/>
          <w:szCs w:val="32"/>
        </w:rPr>
        <w:t xml:space="preserve"> </w:t>
      </w:r>
    </w:p>
    <w:tbl>
      <w:tblPr>
        <w:tblW w:w="0" w:type="auto"/>
        <w:tblLayout w:type="fixed"/>
        <w:tblLook w:val="0000"/>
      </w:tblPr>
      <w:tblGrid>
        <w:gridCol w:w="1020"/>
        <w:gridCol w:w="1020"/>
        <w:gridCol w:w="1020"/>
        <w:gridCol w:w="1020"/>
        <w:gridCol w:w="1020"/>
        <w:gridCol w:w="1020"/>
        <w:gridCol w:w="1020"/>
        <w:gridCol w:w="1020"/>
        <w:gridCol w:w="1022"/>
      </w:tblGrid>
      <w:tr w:rsidR="00141AE3" w:rsidTr="0051351E">
        <w:trPr>
          <w:trHeight w:val="630"/>
        </w:trPr>
        <w:tc>
          <w:tcPr>
            <w:tcW w:w="9182"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​足球20米运球绕杆射门标准</w:t>
            </w:r>
          </w:p>
        </w:tc>
      </w:tr>
      <w:tr w:rsidR="00141AE3" w:rsidTr="0051351E">
        <w:trPr>
          <w:trHeight w:val="630"/>
        </w:trPr>
        <w:tc>
          <w:tcPr>
            <w:tcW w:w="9182" w:type="dxa"/>
            <w:gridSpan w:val="9"/>
            <w:vMerge/>
            <w:tcBorders>
              <w:top w:val="single" w:sz="4" w:space="0" w:color="auto"/>
              <w:left w:val="single" w:sz="4" w:space="0" w:color="auto"/>
              <w:bottom w:val="single" w:sz="4" w:space="0" w:color="auto"/>
              <w:right w:val="single" w:sz="4" w:space="0" w:color="auto"/>
            </w:tcBorders>
            <w:vAlign w:val="center"/>
          </w:tcPr>
          <w:p w:rsidR="00141AE3" w:rsidRDefault="00141AE3" w:rsidP="0051351E">
            <w:pPr>
              <w:widowControl/>
              <w:jc w:val="left"/>
              <w:rPr>
                <w:rFonts w:ascii="宋体" w:hAnsi="宋体" w:cs="宋体" w:hint="eastAsia"/>
                <w:kern w:val="0"/>
                <w:sz w:val="28"/>
                <w:szCs w:val="28"/>
              </w:rPr>
            </w:pP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 xml:space="preserve"> 年级</w:t>
            </w:r>
          </w:p>
        </w:tc>
        <w:tc>
          <w:tcPr>
            <w:tcW w:w="2040" w:type="dxa"/>
            <w:gridSpan w:val="2"/>
            <w:tcBorders>
              <w:top w:val="single" w:sz="4" w:space="0" w:color="auto"/>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小学3-4年级</w:t>
            </w:r>
          </w:p>
        </w:tc>
        <w:tc>
          <w:tcPr>
            <w:tcW w:w="2040" w:type="dxa"/>
            <w:gridSpan w:val="2"/>
            <w:tcBorders>
              <w:top w:val="single" w:sz="4" w:space="0" w:color="auto"/>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小学5-6年级</w:t>
            </w:r>
          </w:p>
        </w:tc>
        <w:tc>
          <w:tcPr>
            <w:tcW w:w="2040" w:type="dxa"/>
            <w:gridSpan w:val="2"/>
            <w:tcBorders>
              <w:top w:val="single" w:sz="4" w:space="0" w:color="auto"/>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初中1-3年级</w:t>
            </w:r>
          </w:p>
        </w:tc>
        <w:tc>
          <w:tcPr>
            <w:tcW w:w="2042" w:type="dxa"/>
            <w:gridSpan w:val="2"/>
            <w:tcBorders>
              <w:top w:val="single" w:sz="4" w:space="0" w:color="auto"/>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高中1-3年级</w:t>
            </w:r>
          </w:p>
        </w:tc>
      </w:tr>
      <w:tr w:rsidR="00141AE3" w:rsidTr="0051351E">
        <w:trPr>
          <w:trHeight w:val="750"/>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性别</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男（秒）</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女（秒）</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男（秒）</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女（秒）</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男（秒）</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女（秒）</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男（秒）</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女（秒）</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100</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12.5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13.8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11.5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13.6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10.8</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13.6</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95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12.7</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11.7</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13.8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11</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13.8</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90</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21</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12.9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11.9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11.2</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85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21.4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13.2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12.2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14.3</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11.5</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14.3</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80</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21.9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13.5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12.5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11.8</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14.6</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75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22.4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13.8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15.1</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12.8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12.1</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14.9</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lastRenderedPageBreak/>
              <w:t>70</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22.9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13.2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15.3</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12.5</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15.3</w:t>
            </w:r>
          </w:p>
        </w:tc>
      </w:tr>
      <w:tr w:rsidR="00141AE3" w:rsidTr="0051351E">
        <w:trPr>
          <w:trHeight w:val="375"/>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65</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19.4</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23.4</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14.6</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15.9</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13.6</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15.7</w:t>
            </w:r>
          </w:p>
        </w:tc>
        <w:tc>
          <w:tcPr>
            <w:tcW w:w="1020" w:type="dxa"/>
            <w:tcBorders>
              <w:top w:val="single" w:sz="4" w:space="0" w:color="auto"/>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12.9</w:t>
            </w:r>
          </w:p>
        </w:tc>
        <w:tc>
          <w:tcPr>
            <w:tcW w:w="1022" w:type="dxa"/>
            <w:tcBorders>
              <w:top w:val="single" w:sz="4" w:space="0" w:color="auto"/>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15.7</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00B050"/>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60</w:t>
            </w:r>
          </w:p>
        </w:tc>
        <w:tc>
          <w:tcPr>
            <w:tcW w:w="1020" w:type="dxa"/>
            <w:tcBorders>
              <w:top w:val="nil"/>
              <w:left w:val="nil"/>
              <w:bottom w:val="single" w:sz="4" w:space="0" w:color="auto"/>
              <w:right w:val="single" w:sz="4" w:space="0" w:color="auto"/>
            </w:tcBorders>
            <w:shd w:val="clear" w:color="000000" w:fill="00B050"/>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w:t>
            </w:r>
          </w:p>
        </w:tc>
        <w:tc>
          <w:tcPr>
            <w:tcW w:w="1020" w:type="dxa"/>
            <w:tcBorders>
              <w:top w:val="nil"/>
              <w:left w:val="nil"/>
              <w:bottom w:val="single" w:sz="4" w:space="0" w:color="auto"/>
              <w:right w:val="single" w:sz="4" w:space="0" w:color="auto"/>
            </w:tcBorders>
            <w:shd w:val="clear" w:color="000000" w:fill="00B050"/>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24</w:t>
            </w:r>
          </w:p>
        </w:tc>
        <w:tc>
          <w:tcPr>
            <w:tcW w:w="1020" w:type="dxa"/>
            <w:tcBorders>
              <w:top w:val="nil"/>
              <w:left w:val="nil"/>
              <w:bottom w:val="single" w:sz="4" w:space="0" w:color="auto"/>
              <w:right w:val="single" w:sz="4" w:space="0" w:color="auto"/>
            </w:tcBorders>
            <w:shd w:val="clear" w:color="000000" w:fill="00B050"/>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w:t>
            </w:r>
          </w:p>
        </w:tc>
        <w:tc>
          <w:tcPr>
            <w:tcW w:w="1020" w:type="dxa"/>
            <w:tcBorders>
              <w:top w:val="nil"/>
              <w:left w:val="nil"/>
              <w:bottom w:val="single" w:sz="4" w:space="0" w:color="auto"/>
              <w:right w:val="single" w:sz="4" w:space="0" w:color="auto"/>
            </w:tcBorders>
            <w:shd w:val="clear" w:color="000000" w:fill="00B050"/>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16.5</w:t>
            </w:r>
          </w:p>
        </w:tc>
        <w:tc>
          <w:tcPr>
            <w:tcW w:w="1020" w:type="dxa"/>
            <w:tcBorders>
              <w:top w:val="nil"/>
              <w:left w:val="nil"/>
              <w:bottom w:val="single" w:sz="4" w:space="0" w:color="auto"/>
              <w:right w:val="single" w:sz="4" w:space="0" w:color="auto"/>
            </w:tcBorders>
            <w:shd w:val="clear" w:color="000000" w:fill="00B050"/>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w:t>
            </w:r>
          </w:p>
        </w:tc>
        <w:tc>
          <w:tcPr>
            <w:tcW w:w="1020" w:type="dxa"/>
            <w:tcBorders>
              <w:top w:val="nil"/>
              <w:left w:val="nil"/>
              <w:bottom w:val="single" w:sz="4" w:space="0" w:color="auto"/>
              <w:right w:val="single" w:sz="4" w:space="0" w:color="auto"/>
            </w:tcBorders>
            <w:shd w:val="clear" w:color="000000" w:fill="00B050"/>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16.1</w:t>
            </w:r>
          </w:p>
        </w:tc>
        <w:tc>
          <w:tcPr>
            <w:tcW w:w="1020" w:type="dxa"/>
            <w:tcBorders>
              <w:top w:val="nil"/>
              <w:left w:val="nil"/>
              <w:bottom w:val="single" w:sz="4" w:space="0" w:color="auto"/>
              <w:right w:val="single" w:sz="4" w:space="0" w:color="auto"/>
            </w:tcBorders>
            <w:shd w:val="clear" w:color="000000" w:fill="00B050"/>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13.3</w:t>
            </w:r>
          </w:p>
        </w:tc>
        <w:tc>
          <w:tcPr>
            <w:tcW w:w="1022" w:type="dxa"/>
            <w:tcBorders>
              <w:top w:val="nil"/>
              <w:left w:val="nil"/>
              <w:bottom w:val="single" w:sz="4" w:space="0" w:color="auto"/>
              <w:right w:val="single" w:sz="4" w:space="0" w:color="auto"/>
            </w:tcBorders>
            <w:shd w:val="clear" w:color="000000" w:fill="00B050"/>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16.1</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55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24.6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16.7</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13.7</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16.5</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50</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21.2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25.2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17.1</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14.1</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16.9</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45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21.8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25.8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17.3</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14.5</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17.3</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40</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22.4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26.4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17.7</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14.9</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17.7</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35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23</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27</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18.3</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18.1</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15.3</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18.1</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30</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23.6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27.6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18.7</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15.7</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18.5</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24.2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28.2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19.1</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16.1</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18.9</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24.8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28.8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19.5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19.3</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16.5</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19.3</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25.4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29.4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19.9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19.7</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16.9</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19.7</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10</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30</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20.3</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20.1</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17.3</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20.1</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26.6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30.6</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19.4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20.7</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18.4</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20.5</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17.7</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20.5</w:t>
            </w:r>
          </w:p>
        </w:tc>
      </w:tr>
      <w:tr w:rsidR="00141AE3" w:rsidTr="0051351E">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0</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27.2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31.2</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19.8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21.1</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18.8</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20.9</w:t>
            </w:r>
          </w:p>
        </w:tc>
        <w:tc>
          <w:tcPr>
            <w:tcW w:w="1020"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18.1</w:t>
            </w:r>
          </w:p>
        </w:tc>
        <w:tc>
          <w:tcPr>
            <w:tcW w:w="1022" w:type="dxa"/>
            <w:tcBorders>
              <w:top w:val="nil"/>
              <w:left w:val="nil"/>
              <w:bottom w:val="single" w:sz="4" w:space="0" w:color="auto"/>
              <w:right w:val="single" w:sz="4" w:space="0" w:color="auto"/>
            </w:tcBorders>
            <w:shd w:val="clear" w:color="000000" w:fill="FFFFFF"/>
            <w:vAlign w:val="center"/>
          </w:tcPr>
          <w:p w:rsidR="00141AE3" w:rsidRDefault="00141AE3" w:rsidP="0051351E">
            <w:pPr>
              <w:widowControl/>
              <w:jc w:val="center"/>
              <w:rPr>
                <w:rFonts w:ascii="宋体" w:hAnsi="宋体" w:cs="宋体" w:hint="eastAsia"/>
                <w:kern w:val="0"/>
                <w:sz w:val="28"/>
                <w:szCs w:val="28"/>
              </w:rPr>
            </w:pPr>
            <w:r>
              <w:rPr>
                <w:rFonts w:ascii="宋体" w:hAnsi="宋体" w:cs="宋体" w:hint="eastAsia"/>
                <w:kern w:val="0"/>
                <w:sz w:val="28"/>
                <w:szCs w:val="28"/>
              </w:rPr>
              <w:t>20.9</w:t>
            </w:r>
          </w:p>
        </w:tc>
      </w:tr>
    </w:tbl>
    <w:p w:rsidR="00141AE3" w:rsidRDefault="00141AE3" w:rsidP="00141AE3">
      <w:pPr>
        <w:rPr>
          <w:rFonts w:ascii="宋体" w:hAnsi="宋体" w:cs="宋体" w:hint="eastAsia"/>
          <w:sz w:val="32"/>
          <w:szCs w:val="32"/>
        </w:rPr>
      </w:pPr>
    </w:p>
    <w:p w:rsidR="00141AE3" w:rsidRDefault="00141AE3" w:rsidP="00141AE3">
      <w:pPr>
        <w:rPr>
          <w:rFonts w:ascii="宋体" w:hAnsi="宋体" w:cs="宋体" w:hint="eastAsia"/>
          <w:sz w:val="32"/>
          <w:szCs w:val="32"/>
        </w:rPr>
      </w:pPr>
    </w:p>
    <w:p w:rsidR="00141AE3" w:rsidRDefault="00141AE3" w:rsidP="00141AE3">
      <w:pPr>
        <w:rPr>
          <w:rFonts w:ascii="宋体" w:hAnsi="宋体" w:cs="宋体" w:hint="eastAsia"/>
          <w:sz w:val="32"/>
          <w:szCs w:val="32"/>
        </w:rPr>
      </w:pPr>
    </w:p>
    <w:p w:rsidR="00141AE3" w:rsidRDefault="00141AE3" w:rsidP="00141AE3">
      <w:pPr>
        <w:rPr>
          <w:rFonts w:ascii="宋体" w:hAnsi="宋体" w:cs="宋体" w:hint="eastAsia"/>
          <w:sz w:val="32"/>
          <w:szCs w:val="32"/>
        </w:rPr>
      </w:pPr>
    </w:p>
    <w:p w:rsidR="00141AE3" w:rsidRDefault="00141AE3" w:rsidP="00141AE3">
      <w:pPr>
        <w:rPr>
          <w:rFonts w:ascii="宋体" w:hAnsi="宋体" w:cs="宋体" w:hint="eastAsia"/>
          <w:sz w:val="32"/>
          <w:szCs w:val="32"/>
        </w:rPr>
      </w:pPr>
    </w:p>
    <w:p w:rsidR="00141AE3" w:rsidRDefault="00141AE3" w:rsidP="00141AE3">
      <w:pPr>
        <w:rPr>
          <w:rFonts w:ascii="宋体" w:hAnsi="宋体" w:cs="宋体" w:hint="eastAsia"/>
          <w:sz w:val="32"/>
          <w:szCs w:val="32"/>
        </w:rPr>
      </w:pPr>
    </w:p>
    <w:p w:rsidR="00141AE3" w:rsidRDefault="00141AE3" w:rsidP="00141AE3">
      <w:pPr>
        <w:rPr>
          <w:rFonts w:ascii="黑体" w:eastAsia="黑体" w:hAnsi="黑体" w:cs="黑体" w:hint="eastAsia"/>
          <w:sz w:val="32"/>
          <w:szCs w:val="32"/>
        </w:rPr>
      </w:pPr>
      <w:r>
        <w:rPr>
          <w:rFonts w:ascii="黑体" w:eastAsia="黑体" w:hAnsi="黑体" w:cs="黑体" w:hint="eastAsia"/>
          <w:sz w:val="32"/>
          <w:szCs w:val="32"/>
        </w:rPr>
        <w:t>附件2</w:t>
      </w:r>
    </w:p>
    <w:p w:rsidR="00141AE3" w:rsidRDefault="00141AE3" w:rsidP="00141AE3">
      <w:pPr>
        <w:rPr>
          <w:rFonts w:ascii="宋体" w:hAnsi="宋体" w:cs="宋体" w:hint="eastAsia"/>
          <w:b/>
          <w:bCs/>
          <w:sz w:val="36"/>
          <w:szCs w:val="36"/>
        </w:rPr>
      </w:pPr>
    </w:p>
    <w:p w:rsidR="00141AE3" w:rsidRDefault="00141AE3" w:rsidP="00141AE3">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2021年杭州市中小学生体能素质检测工作要求</w:t>
      </w:r>
    </w:p>
    <w:p w:rsidR="00141AE3" w:rsidRDefault="00141AE3" w:rsidP="00141AE3">
      <w:pPr>
        <w:jc w:val="left"/>
        <w:rPr>
          <w:rFonts w:ascii="宋体" w:hAnsi="宋体" w:cs="宋体" w:hint="eastAsia"/>
          <w:sz w:val="32"/>
          <w:szCs w:val="32"/>
        </w:rPr>
      </w:pPr>
    </w:p>
    <w:p w:rsidR="00141AE3" w:rsidRDefault="00141AE3" w:rsidP="00141AE3">
      <w:pPr>
        <w:adjustRightInd w:val="0"/>
        <w:snapToGrid w:val="0"/>
        <w:spacing w:line="360" w:lineRule="auto"/>
        <w:ind w:firstLineChars="201"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为认真做好2021年杭州市中小学生体能素质检测工作，根据《杭州市教育局办公室关于做好2021学年学生体质健康测试工作的通知》（杭教办德体卫艺〔2021〕33号）精神，明确如下工作要求：</w:t>
      </w:r>
    </w:p>
    <w:p w:rsidR="00141AE3" w:rsidRDefault="00141AE3" w:rsidP="00141AE3">
      <w:pPr>
        <w:adjustRightInd w:val="0"/>
        <w:snapToGrid w:val="0"/>
        <w:spacing w:line="360" w:lineRule="auto"/>
        <w:ind w:firstLineChars="201"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一、在做好疫情防控工作的前提下，杭州市教育局成立若干检测工作组，对五城区的高中（所有普高、职高）学校及各区、县（市）进行检测。</w:t>
      </w:r>
      <w:r>
        <w:rPr>
          <w:rFonts w:ascii="仿宋_GB2312" w:eastAsia="仿宋_GB2312" w:hAnsi="仿宋_GB2312" w:cs="仿宋_GB2312" w:hint="eastAsia"/>
          <w:b/>
          <w:bCs/>
          <w:sz w:val="32"/>
          <w:szCs w:val="32"/>
        </w:rPr>
        <w:t>为体现检测的科学性，对各区、县（市）采用前一年上报成绩的名次分段抽取部分学生、检测组带抽取名单到被检测学校进行检测的方法</w:t>
      </w:r>
      <w:r>
        <w:rPr>
          <w:rFonts w:ascii="仿宋_GB2312" w:eastAsia="仿宋_GB2312" w:hAnsi="仿宋_GB2312" w:cs="仿宋_GB2312" w:hint="eastAsia"/>
          <w:sz w:val="32"/>
          <w:szCs w:val="32"/>
        </w:rPr>
        <w:t>；对五城区的高中（所有普高、职高）学校，仍采用前一年上报成绩的名次分段抽取部分学生（抽取哪一段或哪几段会在体测前的相关工作会上宣布）、统一时间和地点集中进行检测的方法。</w:t>
      </w:r>
    </w:p>
    <w:p w:rsidR="00141AE3" w:rsidRDefault="00141AE3" w:rsidP="00141AE3">
      <w:pPr>
        <w:adjustRightInd w:val="0"/>
        <w:snapToGrid w:val="0"/>
        <w:spacing w:line="360" w:lineRule="auto"/>
        <w:ind w:firstLineChars="201" w:firstLine="64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二、市教育局将对检测工作组获取的所有检测项目成绩进行汇总统计和排名，连同各地各校检测结果及相关数据，向社会公布。</w:t>
      </w:r>
      <w:r>
        <w:rPr>
          <w:rFonts w:ascii="仿宋_GB2312" w:eastAsia="仿宋_GB2312" w:hAnsi="仿宋_GB2312" w:cs="仿宋_GB2312" w:hint="eastAsia"/>
          <w:sz w:val="32"/>
          <w:szCs w:val="32"/>
        </w:rPr>
        <w:cr/>
        <w:t xml:space="preserve">    三、检测组事先对各被检测学校指定年级按要求抽取男生35</w:t>
      </w:r>
      <w:r>
        <w:rPr>
          <w:rFonts w:ascii="仿宋_GB2312" w:eastAsia="仿宋_GB2312" w:hAnsi="仿宋_GB2312" w:cs="仿宋_GB2312" w:hint="eastAsia"/>
          <w:sz w:val="32"/>
          <w:szCs w:val="32"/>
        </w:rPr>
        <w:lastRenderedPageBreak/>
        <w:t>名、女生40名，各校从该名单中按男女生各25名的要求确定参测学生，同时从中确定若干替补人员。</w:t>
      </w:r>
      <w:r>
        <w:rPr>
          <w:rFonts w:ascii="仿宋_GB2312" w:eastAsia="仿宋_GB2312" w:hAnsi="仿宋_GB2312" w:cs="仿宋_GB2312" w:hint="eastAsia"/>
          <w:sz w:val="32"/>
          <w:szCs w:val="32"/>
        </w:rPr>
        <w:cr/>
        <w:t xml:space="preserve">    四、参测学生由检测工作人员直接带到检测现场，替补人员由学校组织到场。学校在检录时上交参测学生名单，并协助检测人员做好组织工作，逐项进行检测。如参测学生临时因故无法参加检测，由学校安排替补人员，补足检测人数。检测工作一次完成，不补测。</w:t>
      </w:r>
      <w:r>
        <w:rPr>
          <w:rFonts w:ascii="仿宋_GB2312" w:eastAsia="仿宋_GB2312" w:hAnsi="仿宋_GB2312" w:cs="仿宋_GB2312" w:hint="eastAsia"/>
          <w:sz w:val="32"/>
          <w:szCs w:val="32"/>
        </w:rPr>
        <w:cr/>
        <w:t xml:space="preserve">    五、参测学生须凭本人学生基本信息表（以学籍库导出的有水印的信息为准）打印件及身份证（或市民卡）参加检测。无故不到或未按要求提供学生基本信息表、身份证、市民卡者，作零分处理。</w:t>
      </w:r>
      <w:r>
        <w:rPr>
          <w:rFonts w:ascii="仿宋_GB2312" w:eastAsia="仿宋_GB2312" w:hAnsi="仿宋_GB2312" w:cs="仿宋_GB2312" w:hint="eastAsia"/>
          <w:sz w:val="32"/>
          <w:szCs w:val="32"/>
        </w:rPr>
        <w:cr/>
        <w:t xml:space="preserve">    六、学校教导处、班主任和体育组必须全程组织管理学生参与检测，做好学生的安全教育工作。学生必须穿运动服、运动鞋参加检测。学校体育教师负责指导被检测学生做好准备活动，按流程完成体能素质各项检测内容。</w:t>
      </w:r>
      <w:r>
        <w:rPr>
          <w:rFonts w:ascii="仿宋_GB2312" w:eastAsia="仿宋_GB2312" w:hAnsi="仿宋_GB2312" w:cs="仿宋_GB2312" w:hint="eastAsia"/>
          <w:sz w:val="32"/>
          <w:szCs w:val="32"/>
        </w:rPr>
        <w:cr/>
        <w:t xml:space="preserve">    七、各有关学校要提前做好检测项目所需场地和器材的准备工作，落实安全检查，确保场地和器材正常使用。除检测所需的一般器材外，学校还需准备长跑佩戴的1—50号小号码牌（布）2套、别针和足球基础技能项目测试有关器材（不低于1.5米的标志杆32根；小学准备4号标准比赛用球8个，中学准备5号标准比赛用球8个）。</w:t>
      </w:r>
      <w:r>
        <w:rPr>
          <w:rFonts w:ascii="仿宋_GB2312" w:eastAsia="仿宋_GB2312" w:hAnsi="仿宋_GB2312" w:cs="仿宋_GB2312" w:hint="eastAsia"/>
          <w:sz w:val="32"/>
          <w:szCs w:val="32"/>
        </w:rPr>
        <w:cr/>
      </w:r>
      <w:r>
        <w:rPr>
          <w:rFonts w:ascii="仿宋_GB2312" w:eastAsia="仿宋_GB2312" w:hAnsi="仿宋_GB2312" w:cs="仿宋_GB2312" w:hint="eastAsia"/>
          <w:sz w:val="32"/>
          <w:szCs w:val="32"/>
        </w:rPr>
        <w:lastRenderedPageBreak/>
        <w:t xml:space="preserve">    八、各有关学校要做好检测场地的秩序维护工作，保证检测安全有序进行。每学校允许1名主管检测的校级领导和1名体育教师在场，其他人员未经允许不得进入检测场地。如发现有干扰测试组工作的，按相关制度处理。</w:t>
      </w:r>
    </w:p>
    <w:p w:rsidR="00141AE3" w:rsidRDefault="00141AE3" w:rsidP="00141AE3">
      <w:pPr>
        <w:adjustRightInd w:val="0"/>
        <w:snapToGrid w:val="0"/>
        <w:spacing w:line="360" w:lineRule="auto"/>
        <w:ind w:firstLineChars="201" w:firstLine="64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九、各区、县（市）教育局（社发局）和被抽测学校不得在抽测对象、数据等方面冒名顶替、弄虚作假。一经发现并查实，将追究有关人员责任，并做出相应处分和通报批评。</w:t>
      </w:r>
    </w:p>
    <w:p w:rsidR="00141AE3" w:rsidRDefault="00141AE3" w:rsidP="00141AE3">
      <w:pPr>
        <w:adjustRightInd w:val="0"/>
        <w:snapToGrid w:val="0"/>
        <w:spacing w:line="360" w:lineRule="auto"/>
        <w:ind w:firstLineChars="201" w:firstLine="64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十、为尽可能减少疫情防控期间人员接触，同时保证测试数据的公正公平和准确性，本年度的部分测试项目将使用统一设备，具体要求如下:</w:t>
      </w:r>
    </w:p>
    <w:p w:rsidR="00141AE3" w:rsidRDefault="00141AE3" w:rsidP="00141AE3">
      <w:pPr>
        <w:adjustRightInd w:val="0"/>
        <w:snapToGrid w:val="0"/>
        <w:spacing w:line="360" w:lineRule="auto"/>
        <w:ind w:firstLineChars="201" w:firstLine="64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1.五城区高中学校检测时，下列项目使用设备测试：50米跑、1000米跑（男）/800米跑（女）、坐位体前屈、立定跳远，女生1分钟仰卧起坐项目使用设备中的躺板和人工计数相结合的形式。</w:t>
      </w:r>
    </w:p>
    <w:p w:rsidR="00141AE3" w:rsidRDefault="00141AE3" w:rsidP="00141AE3">
      <w:pPr>
        <w:adjustRightInd w:val="0"/>
        <w:snapToGrid w:val="0"/>
        <w:spacing w:line="360" w:lineRule="auto"/>
        <w:ind w:firstLineChars="201" w:firstLine="64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2.其他学校检测时，1分钟跳绳将使用统一设备测试。</w:t>
      </w:r>
    </w:p>
    <w:p w:rsidR="00141AE3" w:rsidRDefault="00141AE3" w:rsidP="00141AE3">
      <w:pPr>
        <w:adjustRightInd w:val="0"/>
        <w:snapToGrid w:val="0"/>
        <w:spacing w:line="360" w:lineRule="auto"/>
        <w:ind w:firstLineChars="201" w:firstLine="64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3.所有测试所需要的设备由体测组提供。</w:t>
      </w:r>
    </w:p>
    <w:p w:rsidR="00141AE3" w:rsidRDefault="00141AE3" w:rsidP="00141AE3">
      <w:pPr>
        <w:adjustRightInd w:val="0"/>
        <w:snapToGrid w:val="0"/>
        <w:spacing w:line="360" w:lineRule="auto"/>
        <w:ind w:firstLineChars="201" w:firstLine="643"/>
        <w:rPr>
          <w:rFonts w:ascii="仿宋_GB2312" w:eastAsia="仿宋_GB2312" w:hint="eastAsia"/>
          <w:sz w:val="28"/>
          <w:szCs w:val="28"/>
        </w:rPr>
      </w:pPr>
      <w:r>
        <w:rPr>
          <w:rFonts w:ascii="仿宋_GB2312" w:eastAsia="仿宋_GB2312" w:hAnsi="仿宋_GB2312" w:cs="仿宋_GB2312" w:hint="eastAsia"/>
          <w:sz w:val="32"/>
          <w:szCs w:val="32"/>
        </w:rPr>
        <w:t>十一、测试过程中，各学校必须严格执行新冠肺炎疫情防控要求，提前做好参加测试的学生及教职员工健康申报工作。测试组进校门时必须亮码测温、</w:t>
      </w:r>
      <w:r>
        <w:rPr>
          <w:rFonts w:eastAsia="仿宋_GB2312"/>
          <w:snapToGrid w:val="0"/>
          <w:kern w:val="0"/>
          <w:sz w:val="32"/>
          <w:szCs w:val="32"/>
        </w:rPr>
        <w:t>查</w:t>
      </w:r>
      <w:r>
        <w:rPr>
          <w:rFonts w:eastAsia="仿宋_GB2312" w:hint="eastAsia"/>
          <w:snapToGrid w:val="0"/>
          <w:kern w:val="0"/>
          <w:sz w:val="32"/>
          <w:szCs w:val="32"/>
        </w:rPr>
        <w:t>验</w:t>
      </w:r>
      <w:r>
        <w:rPr>
          <w:rFonts w:eastAsia="仿宋_GB2312"/>
          <w:snapToGrid w:val="0"/>
          <w:kern w:val="0"/>
          <w:sz w:val="32"/>
          <w:szCs w:val="32"/>
        </w:rPr>
        <w:t>防疫行程卡</w:t>
      </w:r>
      <w:r>
        <w:rPr>
          <w:rFonts w:eastAsia="仿宋_GB2312" w:hint="eastAsia"/>
          <w:snapToGrid w:val="0"/>
          <w:kern w:val="0"/>
          <w:sz w:val="32"/>
          <w:szCs w:val="32"/>
        </w:rPr>
        <w:t>。</w:t>
      </w:r>
    </w:p>
    <w:p w:rsidR="008C1D04" w:rsidRPr="00141AE3" w:rsidRDefault="008C1D04"/>
    <w:sectPr w:rsidR="008C1D04" w:rsidRPr="00141AE3">
      <w:headerReference w:type="default" r:id="rId7"/>
      <w:footerReference w:type="even" r:id="rId8"/>
      <w:footerReference w:type="default" r:id="rId9"/>
      <w:pgSz w:w="11906" w:h="16838"/>
      <w:pgMar w:top="1797" w:right="1440" w:bottom="1797" w:left="1440" w:header="851" w:footer="1417"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D04" w:rsidRDefault="008C1D04" w:rsidP="00141AE3">
      <w:r>
        <w:separator/>
      </w:r>
    </w:p>
  </w:endnote>
  <w:endnote w:type="continuationSeparator" w:id="1">
    <w:p w:rsidR="008C1D04" w:rsidRDefault="008C1D04" w:rsidP="00141A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1D04">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00000" w:rsidRDefault="008C1D0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1D04">
    <w:pPr>
      <w:pStyle w:val="a4"/>
      <w:framePr w:wrap="around" w:vAnchor="text" w:hAnchor="margin" w:xAlign="outside" w:y="1"/>
      <w:ind w:leftChars="100" w:left="210" w:rightChars="100" w:right="210"/>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141AE3">
      <w:rPr>
        <w:rStyle w:val="a5"/>
        <w:noProof/>
        <w:sz w:val="28"/>
        <w:szCs w:val="28"/>
      </w:rPr>
      <w:t>6</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8C1D0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D04" w:rsidRDefault="008C1D04" w:rsidP="00141AE3">
      <w:r>
        <w:separator/>
      </w:r>
    </w:p>
  </w:footnote>
  <w:footnote w:type="continuationSeparator" w:id="1">
    <w:p w:rsidR="008C1D04" w:rsidRDefault="008C1D04" w:rsidP="00141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1D0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1AE3"/>
    <w:rsid w:val="00141AE3"/>
    <w:rsid w:val="008C1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41A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41AE3"/>
    <w:rPr>
      <w:sz w:val="18"/>
      <w:szCs w:val="18"/>
    </w:rPr>
  </w:style>
  <w:style w:type="paragraph" w:styleId="a4">
    <w:name w:val="footer"/>
    <w:basedOn w:val="a"/>
    <w:link w:val="Char0"/>
    <w:unhideWhenUsed/>
    <w:rsid w:val="00141A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41AE3"/>
    <w:rPr>
      <w:sz w:val="18"/>
      <w:szCs w:val="18"/>
    </w:rPr>
  </w:style>
  <w:style w:type="character" w:styleId="a5">
    <w:name w:val="page number"/>
    <w:basedOn w:val="a0"/>
    <w:rsid w:val="00141AE3"/>
  </w:style>
  <w:style w:type="paragraph" w:styleId="a6">
    <w:name w:val="Balloon Text"/>
    <w:basedOn w:val="a"/>
    <w:link w:val="Char1"/>
    <w:uiPriority w:val="99"/>
    <w:semiHidden/>
    <w:unhideWhenUsed/>
    <w:rsid w:val="00141AE3"/>
    <w:rPr>
      <w:sz w:val="18"/>
      <w:szCs w:val="18"/>
    </w:rPr>
  </w:style>
  <w:style w:type="character" w:customStyle="1" w:styleId="Char1">
    <w:name w:val="批注框文本 Char"/>
    <w:basedOn w:val="a0"/>
    <w:link w:val="a6"/>
    <w:uiPriority w:val="99"/>
    <w:semiHidden/>
    <w:rsid w:val="00141AE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2021-08-20T11:19:00Z</dcterms:created>
  <dcterms:modified xsi:type="dcterms:W3CDTF">2021-08-20T11:19:00Z</dcterms:modified>
</cp:coreProperties>
</file>