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2301"/>
        <w:gridCol w:w="1383"/>
        <w:gridCol w:w="1383"/>
        <w:gridCol w:w="1383"/>
        <w:gridCol w:w="1383"/>
        <w:gridCol w:w="1383"/>
      </w:tblGrid>
      <w:tr w:rsidR="00096A64" w:rsidTr="00DC0CF1">
        <w:trPr>
          <w:trHeight w:hRule="exact" w:val="901"/>
          <w:jc w:val="center"/>
        </w:trPr>
        <w:tc>
          <w:tcPr>
            <w:tcW w:w="2301" w:type="dxa"/>
            <w:tcBorders>
              <w:top w:val="single" w:sz="4" w:space="0" w:color="000000"/>
              <w:left w:val="single" w:sz="4" w:space="0" w:color="auto"/>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p>
        </w:tc>
        <w:tc>
          <w:tcPr>
            <w:tcW w:w="1383" w:type="dxa"/>
            <w:tcBorders>
              <w:top w:val="single" w:sz="4" w:space="0" w:color="000000"/>
              <w:left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优秀教师</w:t>
            </w:r>
          </w:p>
        </w:tc>
        <w:tc>
          <w:tcPr>
            <w:tcW w:w="1383" w:type="dxa"/>
            <w:tcBorders>
              <w:top w:val="single" w:sz="4" w:space="0" w:color="000000"/>
              <w:left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color w:val="000000"/>
                <w:spacing w:val="-6"/>
                <w:sz w:val="28"/>
                <w:szCs w:val="28"/>
              </w:rPr>
            </w:pPr>
            <w:r>
              <w:rPr>
                <w:rFonts w:ascii="宋体" w:hAnsi="宋体" w:cs="宋体" w:hint="eastAsia"/>
                <w:color w:val="000000"/>
                <w:spacing w:val="-6"/>
                <w:kern w:val="0"/>
                <w:sz w:val="28"/>
                <w:szCs w:val="28"/>
              </w:rPr>
              <w:t>优秀校长</w:t>
            </w:r>
          </w:p>
        </w:tc>
        <w:tc>
          <w:tcPr>
            <w:tcW w:w="1383" w:type="dxa"/>
            <w:tcBorders>
              <w:top w:val="single" w:sz="4" w:space="0" w:color="000000"/>
              <w:left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color w:val="000000"/>
                <w:spacing w:val="-6"/>
                <w:sz w:val="28"/>
                <w:szCs w:val="28"/>
              </w:rPr>
            </w:pPr>
            <w:r>
              <w:rPr>
                <w:rFonts w:ascii="宋体" w:hAnsi="宋体" w:cs="宋体" w:hint="eastAsia"/>
                <w:color w:val="000000"/>
                <w:spacing w:val="-6"/>
                <w:kern w:val="0"/>
                <w:sz w:val="28"/>
                <w:szCs w:val="28"/>
              </w:rPr>
              <w:t>优秀班主任</w:t>
            </w:r>
          </w:p>
        </w:tc>
        <w:tc>
          <w:tcPr>
            <w:tcW w:w="1383" w:type="dxa"/>
            <w:tcBorders>
              <w:top w:val="single" w:sz="4" w:space="0" w:color="000000"/>
              <w:left w:val="single" w:sz="4" w:space="0" w:color="auto"/>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农村教师突出贡献者</w:t>
            </w:r>
          </w:p>
        </w:tc>
        <w:tc>
          <w:tcPr>
            <w:tcW w:w="1383"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优秀教育</w:t>
            </w:r>
          </w:p>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工作者</w:t>
            </w:r>
          </w:p>
        </w:tc>
      </w:tr>
      <w:tr w:rsidR="00096A64" w:rsidTr="00DC0CF1">
        <w:trPr>
          <w:trHeight w:hRule="exact" w:val="397"/>
          <w:jc w:val="center"/>
        </w:trPr>
        <w:tc>
          <w:tcPr>
            <w:tcW w:w="230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上城区</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30</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6</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11</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14</w:t>
            </w:r>
          </w:p>
        </w:tc>
      </w:tr>
      <w:tr w:rsidR="00096A64" w:rsidTr="00DC0CF1">
        <w:trPr>
          <w:trHeight w:hRule="exact" w:val="397"/>
          <w:jc w:val="center"/>
        </w:trPr>
        <w:tc>
          <w:tcPr>
            <w:tcW w:w="230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拱墅区</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29</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6</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color w:val="000000"/>
                <w:spacing w:val="-6"/>
                <w:sz w:val="28"/>
                <w:szCs w:val="28"/>
              </w:rPr>
            </w:pPr>
            <w:r>
              <w:rPr>
                <w:rFonts w:ascii="宋体" w:hAnsi="宋体" w:cs="宋体" w:hint="eastAsia"/>
                <w:color w:val="000000"/>
                <w:spacing w:val="-6"/>
                <w:kern w:val="0"/>
                <w:sz w:val="28"/>
                <w:szCs w:val="28"/>
              </w:rPr>
              <w:t>11</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14</w:t>
            </w:r>
          </w:p>
        </w:tc>
      </w:tr>
      <w:tr w:rsidR="00096A64" w:rsidTr="00DC0CF1">
        <w:trPr>
          <w:trHeight w:hRule="exact" w:val="457"/>
          <w:jc w:val="center"/>
        </w:trPr>
        <w:tc>
          <w:tcPr>
            <w:tcW w:w="230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西湖区（含名胜区）</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26</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5</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9</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12</w:t>
            </w:r>
          </w:p>
        </w:tc>
      </w:tr>
      <w:tr w:rsidR="00096A64" w:rsidTr="00DC0CF1">
        <w:trPr>
          <w:trHeight w:val="397"/>
          <w:jc w:val="center"/>
        </w:trPr>
        <w:tc>
          <w:tcPr>
            <w:tcW w:w="230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高新（滨江）区</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13</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2</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5</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7</w:t>
            </w:r>
          </w:p>
        </w:tc>
      </w:tr>
      <w:tr w:rsidR="00096A64" w:rsidTr="00DC0CF1">
        <w:trPr>
          <w:trHeight w:val="397"/>
          <w:jc w:val="center"/>
        </w:trPr>
        <w:tc>
          <w:tcPr>
            <w:tcW w:w="2301"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萧山区</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32</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10</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color w:val="000000"/>
                <w:spacing w:val="-6"/>
                <w:sz w:val="28"/>
                <w:szCs w:val="28"/>
              </w:rPr>
            </w:pPr>
            <w:r>
              <w:rPr>
                <w:rFonts w:ascii="宋体" w:hAnsi="宋体" w:cs="宋体" w:hint="eastAsia"/>
                <w:color w:val="000000"/>
                <w:spacing w:val="-6"/>
                <w:kern w:val="0"/>
                <w:sz w:val="28"/>
                <w:szCs w:val="28"/>
              </w:rPr>
              <w:t>11</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4</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14</w:t>
            </w:r>
          </w:p>
        </w:tc>
      </w:tr>
      <w:tr w:rsidR="00096A64" w:rsidTr="00DC0CF1">
        <w:trPr>
          <w:trHeight w:val="397"/>
          <w:jc w:val="center"/>
        </w:trPr>
        <w:tc>
          <w:tcPr>
            <w:tcW w:w="2301"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余杭区</w:t>
            </w:r>
          </w:p>
        </w:tc>
        <w:tc>
          <w:tcPr>
            <w:tcW w:w="13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26</w:t>
            </w:r>
          </w:p>
        </w:tc>
        <w:tc>
          <w:tcPr>
            <w:tcW w:w="13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5</w:t>
            </w:r>
          </w:p>
        </w:tc>
        <w:tc>
          <w:tcPr>
            <w:tcW w:w="1383"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7</w:t>
            </w:r>
          </w:p>
        </w:tc>
        <w:tc>
          <w:tcPr>
            <w:tcW w:w="1383"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2</w:t>
            </w:r>
          </w:p>
        </w:tc>
        <w:tc>
          <w:tcPr>
            <w:tcW w:w="1383"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12</w:t>
            </w:r>
          </w:p>
        </w:tc>
      </w:tr>
      <w:tr w:rsidR="00096A64" w:rsidTr="00DC0CF1">
        <w:trPr>
          <w:trHeight w:val="397"/>
          <w:jc w:val="center"/>
        </w:trPr>
        <w:tc>
          <w:tcPr>
            <w:tcW w:w="2301"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临平区</w:t>
            </w:r>
          </w:p>
        </w:tc>
        <w:tc>
          <w:tcPr>
            <w:tcW w:w="13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20</w:t>
            </w:r>
          </w:p>
        </w:tc>
        <w:tc>
          <w:tcPr>
            <w:tcW w:w="13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4</w:t>
            </w:r>
          </w:p>
        </w:tc>
        <w:tc>
          <w:tcPr>
            <w:tcW w:w="1383"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color w:val="000000"/>
                <w:spacing w:val="-6"/>
                <w:sz w:val="28"/>
                <w:szCs w:val="28"/>
              </w:rPr>
            </w:pPr>
            <w:r>
              <w:rPr>
                <w:rFonts w:ascii="宋体" w:hAnsi="宋体" w:cs="宋体" w:hint="eastAsia"/>
                <w:color w:val="000000"/>
                <w:spacing w:val="-6"/>
                <w:kern w:val="0"/>
                <w:sz w:val="28"/>
                <w:szCs w:val="28"/>
              </w:rPr>
              <w:t>7</w:t>
            </w:r>
          </w:p>
        </w:tc>
        <w:tc>
          <w:tcPr>
            <w:tcW w:w="1383"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2</w:t>
            </w:r>
          </w:p>
        </w:tc>
        <w:tc>
          <w:tcPr>
            <w:tcW w:w="1383"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12</w:t>
            </w:r>
          </w:p>
        </w:tc>
      </w:tr>
      <w:tr w:rsidR="00096A64" w:rsidTr="00DC0CF1">
        <w:trPr>
          <w:trHeight w:val="397"/>
          <w:jc w:val="center"/>
        </w:trPr>
        <w:tc>
          <w:tcPr>
            <w:tcW w:w="230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钱塘区</w:t>
            </w:r>
          </w:p>
        </w:tc>
        <w:tc>
          <w:tcPr>
            <w:tcW w:w="13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14</w:t>
            </w:r>
          </w:p>
        </w:tc>
        <w:tc>
          <w:tcPr>
            <w:tcW w:w="13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4</w:t>
            </w:r>
          </w:p>
        </w:tc>
        <w:tc>
          <w:tcPr>
            <w:tcW w:w="1383"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6</w:t>
            </w:r>
          </w:p>
        </w:tc>
        <w:tc>
          <w:tcPr>
            <w:tcW w:w="13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2</w:t>
            </w:r>
          </w:p>
        </w:tc>
        <w:tc>
          <w:tcPr>
            <w:tcW w:w="13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8</w:t>
            </w:r>
          </w:p>
        </w:tc>
      </w:tr>
      <w:tr w:rsidR="00096A64" w:rsidTr="00DC0CF1">
        <w:trPr>
          <w:trHeight w:val="397"/>
          <w:jc w:val="center"/>
        </w:trPr>
        <w:tc>
          <w:tcPr>
            <w:tcW w:w="2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富阳区</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20</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5</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color w:val="000000"/>
                <w:spacing w:val="-6"/>
                <w:sz w:val="28"/>
                <w:szCs w:val="28"/>
              </w:rPr>
            </w:pPr>
            <w:r>
              <w:rPr>
                <w:rFonts w:ascii="宋体" w:hAnsi="宋体" w:cs="宋体" w:hint="eastAsia"/>
                <w:color w:val="000000"/>
                <w:spacing w:val="-6"/>
                <w:kern w:val="0"/>
                <w:sz w:val="28"/>
                <w:szCs w:val="28"/>
              </w:rPr>
              <w:t>9</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4</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9</w:t>
            </w:r>
          </w:p>
        </w:tc>
      </w:tr>
      <w:tr w:rsidR="00096A64" w:rsidTr="00DC0CF1">
        <w:trPr>
          <w:trHeight w:val="397"/>
          <w:jc w:val="center"/>
        </w:trPr>
        <w:tc>
          <w:tcPr>
            <w:tcW w:w="2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临安区</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14</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4</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6</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4</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7</w:t>
            </w:r>
          </w:p>
        </w:tc>
      </w:tr>
      <w:tr w:rsidR="00096A64" w:rsidTr="00DC0CF1">
        <w:trPr>
          <w:trHeight w:val="397"/>
          <w:jc w:val="center"/>
        </w:trPr>
        <w:tc>
          <w:tcPr>
            <w:tcW w:w="2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桐庐县</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13</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3</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6</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4</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6</w:t>
            </w:r>
          </w:p>
        </w:tc>
      </w:tr>
      <w:tr w:rsidR="00096A64" w:rsidTr="00DC0CF1">
        <w:trPr>
          <w:trHeight w:hRule="exact" w:val="397"/>
          <w:jc w:val="center"/>
        </w:trPr>
        <w:tc>
          <w:tcPr>
            <w:tcW w:w="2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淳安县</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10</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3</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6</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4</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5</w:t>
            </w:r>
          </w:p>
        </w:tc>
      </w:tr>
      <w:tr w:rsidR="00096A64" w:rsidTr="00DC0CF1">
        <w:trPr>
          <w:trHeight w:hRule="exact" w:val="397"/>
          <w:jc w:val="center"/>
        </w:trPr>
        <w:tc>
          <w:tcPr>
            <w:tcW w:w="2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建德市</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13</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3</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6</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sz w:val="28"/>
                <w:szCs w:val="28"/>
              </w:rPr>
            </w:pPr>
            <w:r>
              <w:rPr>
                <w:rFonts w:ascii="宋体" w:hAnsi="宋体" w:cs="宋体" w:hint="eastAsia"/>
                <w:color w:val="000000"/>
                <w:spacing w:val="-6"/>
                <w:kern w:val="0"/>
                <w:sz w:val="28"/>
                <w:szCs w:val="28"/>
              </w:rPr>
              <w:t>4</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lang/>
              </w:rPr>
              <w:t>6</w:t>
            </w:r>
          </w:p>
        </w:tc>
      </w:tr>
      <w:tr w:rsidR="00096A64" w:rsidTr="00DC0CF1">
        <w:trPr>
          <w:trHeight w:hRule="exact" w:val="397"/>
          <w:jc w:val="center"/>
        </w:trPr>
        <w:tc>
          <w:tcPr>
            <w:tcW w:w="2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仿宋" w:eastAsia="仿宋" w:hAnsi="仿宋" w:cs="仿宋" w:hint="eastAsia"/>
                <w:color w:val="000000"/>
                <w:spacing w:val="-6"/>
                <w:kern w:val="0"/>
                <w:sz w:val="28"/>
                <w:szCs w:val="28"/>
              </w:rPr>
            </w:pPr>
            <w:r>
              <w:rPr>
                <w:rFonts w:ascii="仿宋" w:eastAsia="仿宋" w:hAnsi="仿宋" w:cs="仿宋" w:hint="eastAsia"/>
                <w:color w:val="000000"/>
                <w:spacing w:val="-6"/>
                <w:kern w:val="0"/>
                <w:sz w:val="28"/>
                <w:szCs w:val="28"/>
              </w:rPr>
              <w:t>合计</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color w:val="000000"/>
                <w:spacing w:val="-6"/>
                <w:sz w:val="28"/>
                <w:szCs w:val="28"/>
              </w:rPr>
            </w:pPr>
            <w:r>
              <w:rPr>
                <w:rFonts w:ascii="宋体" w:hAnsi="宋体" w:cs="宋体" w:hint="eastAsia"/>
                <w:color w:val="000000"/>
                <w:spacing w:val="-6"/>
                <w:kern w:val="0"/>
                <w:sz w:val="28"/>
                <w:szCs w:val="28"/>
              </w:rPr>
              <w:t>260</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60</w:t>
            </w:r>
          </w:p>
        </w:tc>
        <w:tc>
          <w:tcPr>
            <w:tcW w:w="138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color w:val="000000"/>
                <w:spacing w:val="-6"/>
                <w:sz w:val="28"/>
                <w:szCs w:val="28"/>
              </w:rPr>
            </w:pPr>
            <w:r>
              <w:rPr>
                <w:rFonts w:ascii="宋体" w:hAnsi="宋体" w:cs="宋体" w:hint="eastAsia"/>
                <w:color w:val="000000"/>
                <w:spacing w:val="-6"/>
                <w:kern w:val="0"/>
                <w:sz w:val="28"/>
                <w:szCs w:val="28"/>
              </w:rPr>
              <w:t>105</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color w:val="000000"/>
                <w:spacing w:val="-6"/>
                <w:sz w:val="28"/>
                <w:szCs w:val="28"/>
              </w:rPr>
            </w:pPr>
            <w:r>
              <w:rPr>
                <w:rFonts w:ascii="宋体" w:hAnsi="宋体" w:cs="宋体" w:hint="eastAsia"/>
                <w:color w:val="000000"/>
                <w:spacing w:val="-6"/>
                <w:kern w:val="0"/>
                <w:sz w:val="28"/>
                <w:szCs w:val="28"/>
              </w:rPr>
              <w:t>30</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spacing w:line="340" w:lineRule="exact"/>
              <w:jc w:val="center"/>
              <w:textAlignment w:val="center"/>
              <w:rPr>
                <w:rFonts w:ascii="宋体" w:hAnsi="宋体" w:cs="宋体" w:hint="eastAsia"/>
                <w:color w:val="000000"/>
                <w:spacing w:val="-6"/>
                <w:kern w:val="0"/>
                <w:sz w:val="28"/>
                <w:szCs w:val="28"/>
              </w:rPr>
            </w:pPr>
            <w:r>
              <w:rPr>
                <w:rFonts w:ascii="宋体" w:hAnsi="宋体" w:cs="宋体" w:hint="eastAsia"/>
                <w:color w:val="000000"/>
                <w:spacing w:val="-6"/>
                <w:kern w:val="0"/>
                <w:sz w:val="28"/>
                <w:szCs w:val="28"/>
              </w:rPr>
              <w:t>126</w:t>
            </w:r>
          </w:p>
        </w:tc>
      </w:tr>
    </w:tbl>
    <w:p w:rsidR="00096A64" w:rsidRDefault="00096A64" w:rsidP="00096A64">
      <w:pPr>
        <w:jc w:val="left"/>
        <w:rPr>
          <w:rFonts w:eastAsia="仿宋_GB2312" w:hint="eastAsia"/>
          <w:snapToGrid w:val="0"/>
          <w:kern w:val="0"/>
          <w:sz w:val="24"/>
        </w:rPr>
      </w:pPr>
    </w:p>
    <w:p w:rsidR="00096A64" w:rsidRDefault="00096A64" w:rsidP="00096A64">
      <w:pPr>
        <w:jc w:val="left"/>
        <w:rPr>
          <w:rFonts w:eastAsia="仿宋_GB2312" w:hint="eastAsia"/>
          <w:snapToGrid w:val="0"/>
          <w:kern w:val="0"/>
          <w:sz w:val="24"/>
        </w:rPr>
      </w:pPr>
      <w:r>
        <w:rPr>
          <w:rFonts w:eastAsia="仿宋_GB2312" w:hint="eastAsia"/>
          <w:snapToGrid w:val="0"/>
          <w:kern w:val="0"/>
          <w:sz w:val="24"/>
        </w:rPr>
        <w:t>注：</w:t>
      </w:r>
    </w:p>
    <w:p w:rsidR="00096A64" w:rsidRDefault="00096A64" w:rsidP="00096A64">
      <w:pPr>
        <w:jc w:val="left"/>
        <w:rPr>
          <w:rFonts w:eastAsia="仿宋_GB2312" w:hint="eastAsia"/>
          <w:snapToGrid w:val="0"/>
          <w:kern w:val="0"/>
          <w:sz w:val="24"/>
        </w:rPr>
      </w:pPr>
      <w:r>
        <w:rPr>
          <w:rFonts w:eastAsia="仿宋_GB2312" w:hint="eastAsia"/>
          <w:snapToGrid w:val="0"/>
          <w:kern w:val="0"/>
          <w:sz w:val="24"/>
        </w:rPr>
        <w:t>1.</w:t>
      </w:r>
      <w:r>
        <w:rPr>
          <w:rFonts w:eastAsia="仿宋_GB2312" w:hint="eastAsia"/>
          <w:snapToGrid w:val="0"/>
          <w:kern w:val="0"/>
          <w:sz w:val="24"/>
        </w:rPr>
        <w:t>各区、县（市）教育行政部门按指标等额推荐市级优秀教师、优秀教育工作者、优秀班主任，由市教育局评定。</w:t>
      </w:r>
    </w:p>
    <w:p w:rsidR="00096A64" w:rsidRDefault="00096A64" w:rsidP="00096A64">
      <w:pPr>
        <w:numPr>
          <w:ilvl w:val="0"/>
          <w:numId w:val="1"/>
        </w:numPr>
        <w:tabs>
          <w:tab w:val="left" w:pos="312"/>
        </w:tabs>
        <w:jc w:val="left"/>
        <w:rPr>
          <w:rFonts w:eastAsia="仿宋_GB2312" w:hint="eastAsia"/>
          <w:snapToGrid w:val="0"/>
          <w:kern w:val="0"/>
          <w:sz w:val="24"/>
        </w:rPr>
      </w:pPr>
      <w:r>
        <w:rPr>
          <w:rFonts w:eastAsia="仿宋_GB2312" w:hint="eastAsia"/>
          <w:snapToGrid w:val="0"/>
          <w:kern w:val="0"/>
          <w:sz w:val="24"/>
        </w:rPr>
        <w:t>各区、县（市）教育行政部门按指标推荐市级优秀校长、农村教师突出贡献者，由市教育局组织差额评审。</w:t>
      </w:r>
    </w:p>
    <w:p w:rsidR="00096A64" w:rsidRDefault="00096A64" w:rsidP="00096A64">
      <w:pPr>
        <w:numPr>
          <w:ilvl w:val="0"/>
          <w:numId w:val="1"/>
        </w:numPr>
        <w:tabs>
          <w:tab w:val="left" w:pos="312"/>
        </w:tabs>
        <w:rPr>
          <w:rFonts w:eastAsia="仿宋_GB2312" w:hint="eastAsia"/>
          <w:snapToGrid w:val="0"/>
          <w:kern w:val="0"/>
          <w:sz w:val="24"/>
        </w:rPr>
      </w:pPr>
      <w:r>
        <w:rPr>
          <w:rFonts w:eastAsia="仿宋_GB2312" w:hint="eastAsia"/>
          <w:snapToGrid w:val="0"/>
          <w:kern w:val="0"/>
          <w:sz w:val="24"/>
        </w:rPr>
        <w:t>推荐优秀教育工作者时，在抗击“新冠肺炎”疫情、投身“无疫学校”创建中有突出表现的一线教职员工原则上不少于可推荐市级优秀教育工作者指标总数的</w:t>
      </w:r>
      <w:r>
        <w:rPr>
          <w:rFonts w:eastAsia="仿宋_GB2312" w:hint="eastAsia"/>
          <w:snapToGrid w:val="0"/>
          <w:kern w:val="0"/>
          <w:sz w:val="24"/>
        </w:rPr>
        <w:t>1/3</w:t>
      </w:r>
      <w:r>
        <w:rPr>
          <w:rFonts w:eastAsia="仿宋_GB2312" w:hint="eastAsia"/>
          <w:snapToGrid w:val="0"/>
          <w:kern w:val="0"/>
          <w:sz w:val="24"/>
        </w:rPr>
        <w:t>，并注明“抗疫”字样。</w:t>
      </w:r>
    </w:p>
    <w:p w:rsidR="00096A64" w:rsidRDefault="00096A64" w:rsidP="00096A64">
      <w:pPr>
        <w:numPr>
          <w:ilvl w:val="0"/>
          <w:numId w:val="1"/>
        </w:numPr>
        <w:tabs>
          <w:tab w:val="left" w:pos="312"/>
        </w:tabs>
        <w:jc w:val="left"/>
        <w:rPr>
          <w:rFonts w:eastAsia="仿宋_GB2312" w:hint="eastAsia"/>
          <w:snapToGrid w:val="0"/>
          <w:kern w:val="0"/>
          <w:sz w:val="24"/>
        </w:rPr>
      </w:pPr>
      <w:r>
        <w:rPr>
          <w:rFonts w:eastAsia="仿宋_GB2312" w:hint="eastAsia"/>
          <w:snapToGrid w:val="0"/>
          <w:kern w:val="0"/>
          <w:sz w:val="24"/>
        </w:rPr>
        <w:t>推荐优秀教师时，各区、县（市）教育行政部门可推荐援四川广元、甘孜等地在岗对口支援教师（一年以上）</w:t>
      </w:r>
      <w:r>
        <w:rPr>
          <w:rFonts w:eastAsia="仿宋_GB2312" w:hint="eastAsia"/>
          <w:snapToGrid w:val="0"/>
          <w:kern w:val="0"/>
          <w:sz w:val="24"/>
        </w:rPr>
        <w:t>1</w:t>
      </w:r>
      <w:r>
        <w:rPr>
          <w:rFonts w:eastAsia="仿宋_GB2312" w:hint="eastAsia"/>
          <w:snapToGrid w:val="0"/>
          <w:kern w:val="0"/>
          <w:sz w:val="24"/>
        </w:rPr>
        <w:t>名，不占上表指标，由市教育局组织差额评审。援新疆、青海、西藏的由其对口支援指挥部分别按</w:t>
      </w:r>
      <w:r>
        <w:rPr>
          <w:rFonts w:eastAsia="仿宋_GB2312" w:hint="eastAsia"/>
          <w:snapToGrid w:val="0"/>
          <w:kern w:val="0"/>
          <w:sz w:val="24"/>
        </w:rPr>
        <w:t>2</w:t>
      </w:r>
      <w:r>
        <w:rPr>
          <w:rFonts w:eastAsia="仿宋_GB2312" w:hint="eastAsia"/>
          <w:snapToGrid w:val="0"/>
          <w:kern w:val="0"/>
          <w:sz w:val="24"/>
        </w:rPr>
        <w:t>名、</w:t>
      </w:r>
      <w:r>
        <w:rPr>
          <w:rFonts w:eastAsia="仿宋_GB2312" w:hint="eastAsia"/>
          <w:snapToGrid w:val="0"/>
          <w:kern w:val="0"/>
          <w:sz w:val="24"/>
        </w:rPr>
        <w:t>1</w:t>
      </w:r>
      <w:r>
        <w:rPr>
          <w:rFonts w:eastAsia="仿宋_GB2312" w:hint="eastAsia"/>
          <w:snapToGrid w:val="0"/>
          <w:kern w:val="0"/>
          <w:sz w:val="24"/>
        </w:rPr>
        <w:t>名、</w:t>
      </w:r>
      <w:r>
        <w:rPr>
          <w:rFonts w:eastAsia="仿宋_GB2312" w:hint="eastAsia"/>
          <w:snapToGrid w:val="0"/>
          <w:kern w:val="0"/>
          <w:sz w:val="24"/>
        </w:rPr>
        <w:t>1</w:t>
      </w:r>
      <w:r>
        <w:rPr>
          <w:rFonts w:eastAsia="仿宋_GB2312" w:hint="eastAsia"/>
          <w:snapToGrid w:val="0"/>
          <w:kern w:val="0"/>
          <w:sz w:val="24"/>
        </w:rPr>
        <w:t>名等额推荐，由市教育局评定。</w:t>
      </w:r>
    </w:p>
    <w:p w:rsidR="00096A64" w:rsidRDefault="00096A64" w:rsidP="00096A64">
      <w:pPr>
        <w:jc w:val="left"/>
        <w:rPr>
          <w:rFonts w:ascii="黑体" w:eastAsia="黑体" w:hAnsi="黑体" w:cs="黑体" w:hint="eastAsia"/>
          <w:snapToGrid w:val="0"/>
          <w:kern w:val="0"/>
          <w:sz w:val="32"/>
          <w:szCs w:val="32"/>
        </w:rPr>
        <w:sectPr w:rsidR="00096A64">
          <w:headerReference w:type="default" r:id="rId7"/>
          <w:footerReference w:type="even" r:id="rId8"/>
          <w:footerReference w:type="default" r:id="rId9"/>
          <w:pgSz w:w="11906" w:h="16838"/>
          <w:pgMar w:top="1797" w:right="1440" w:bottom="1797" w:left="1440" w:header="851" w:footer="1417" w:gutter="0"/>
          <w:cols w:space="720"/>
          <w:docGrid w:type="lines" w:linePitch="315"/>
        </w:sectPr>
      </w:pPr>
    </w:p>
    <w:p w:rsidR="00096A64" w:rsidRDefault="00096A64" w:rsidP="00096A64">
      <w:pPr>
        <w:jc w:val="left"/>
        <w:rPr>
          <w:rFonts w:ascii="黑体" w:eastAsia="黑体" w:hAnsi="黑体" w:cs="黑体" w:hint="eastAsia"/>
          <w:snapToGrid w:val="0"/>
          <w:kern w:val="0"/>
          <w:sz w:val="32"/>
          <w:szCs w:val="32"/>
        </w:rPr>
      </w:pPr>
      <w:r>
        <w:rPr>
          <w:rFonts w:ascii="黑体" w:eastAsia="黑体" w:hAnsi="黑体" w:cs="黑体" w:hint="eastAsia"/>
          <w:snapToGrid w:val="0"/>
          <w:kern w:val="0"/>
          <w:sz w:val="32"/>
          <w:szCs w:val="32"/>
        </w:rPr>
        <w:lastRenderedPageBreak/>
        <w:t>附件2</w:t>
      </w:r>
    </w:p>
    <w:p w:rsidR="00096A64" w:rsidRDefault="00096A64" w:rsidP="00096A64">
      <w:pPr>
        <w:jc w:val="left"/>
        <w:rPr>
          <w:rFonts w:ascii="黑体" w:eastAsia="黑体" w:hAnsi="黑体" w:cs="黑体" w:hint="eastAsia"/>
          <w:snapToGrid w:val="0"/>
          <w:kern w:val="0"/>
          <w:sz w:val="32"/>
          <w:szCs w:val="32"/>
        </w:rPr>
      </w:pPr>
    </w:p>
    <w:p w:rsidR="00096A64" w:rsidRDefault="00096A64" w:rsidP="00096A64">
      <w:pPr>
        <w:adjustRightInd w:val="0"/>
        <w:snapToGrid w:val="0"/>
        <w:jc w:val="center"/>
        <w:rPr>
          <w:rFonts w:ascii="小标宋" w:eastAsia="小标宋" w:hAnsi="小标宋" w:cs="小标宋" w:hint="eastAsia"/>
          <w:sz w:val="36"/>
          <w:szCs w:val="36"/>
        </w:rPr>
      </w:pPr>
      <w:r>
        <w:rPr>
          <w:rFonts w:ascii="小标宋" w:eastAsia="小标宋" w:hAnsi="小标宋" w:cs="小标宋" w:hint="eastAsia"/>
          <w:sz w:val="36"/>
          <w:szCs w:val="36"/>
        </w:rPr>
        <w:t>市属高校、直属学校（单位）可推荐指标分配表</w:t>
      </w:r>
    </w:p>
    <w:p w:rsidR="00096A64" w:rsidRDefault="00096A64" w:rsidP="00096A64">
      <w:pPr>
        <w:adjustRightInd w:val="0"/>
        <w:snapToGrid w:val="0"/>
        <w:rPr>
          <w:rFonts w:ascii="小标宋" w:eastAsia="小标宋" w:hAnsi="小标宋" w:cs="小标宋" w:hint="eastAsia"/>
          <w:sz w:val="36"/>
          <w:szCs w:val="36"/>
        </w:rPr>
      </w:pPr>
    </w:p>
    <w:tbl>
      <w:tblPr>
        <w:tblW w:w="0" w:type="auto"/>
        <w:jc w:val="center"/>
        <w:tblLayout w:type="fixed"/>
        <w:tblCellMar>
          <w:left w:w="0" w:type="dxa"/>
          <w:right w:w="0" w:type="dxa"/>
        </w:tblCellMar>
        <w:tblLook w:val="0000"/>
      </w:tblPr>
      <w:tblGrid>
        <w:gridCol w:w="2789"/>
        <w:gridCol w:w="904"/>
        <w:gridCol w:w="905"/>
        <w:gridCol w:w="904"/>
        <w:gridCol w:w="905"/>
        <w:gridCol w:w="904"/>
        <w:gridCol w:w="909"/>
      </w:tblGrid>
      <w:tr w:rsidR="00096A64" w:rsidTr="00DC0CF1">
        <w:trPr>
          <w:trHeight w:val="640"/>
          <w:jc w:val="center"/>
        </w:trPr>
        <w:tc>
          <w:tcPr>
            <w:tcW w:w="27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jc w:val="center"/>
              <w:rPr>
                <w:rFonts w:ascii="黑体" w:eastAsia="黑体" w:hAnsi="黑体" w:cs="黑体"/>
                <w:color w:val="000000"/>
                <w:spacing w:val="-6"/>
                <w:sz w:val="24"/>
              </w:rPr>
            </w:pPr>
          </w:p>
        </w:tc>
        <w:tc>
          <w:tcPr>
            <w:tcW w:w="1809"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黑体" w:eastAsia="黑体" w:hAnsi="黑体" w:cs="黑体"/>
                <w:color w:val="000000"/>
                <w:spacing w:val="-6"/>
                <w:sz w:val="24"/>
              </w:rPr>
            </w:pPr>
            <w:r>
              <w:rPr>
                <w:rFonts w:ascii="黑体" w:eastAsia="黑体" w:hAnsi="黑体" w:cs="黑体" w:hint="eastAsia"/>
                <w:color w:val="000000"/>
                <w:spacing w:val="-6"/>
                <w:kern w:val="0"/>
                <w:sz w:val="24"/>
              </w:rPr>
              <w:t>优秀教师</w:t>
            </w:r>
          </w:p>
        </w:tc>
        <w:tc>
          <w:tcPr>
            <w:tcW w:w="18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黑体" w:eastAsia="黑体" w:hAnsi="黑体" w:cs="黑体"/>
                <w:color w:val="000000"/>
                <w:spacing w:val="-6"/>
                <w:sz w:val="24"/>
              </w:rPr>
            </w:pPr>
            <w:r>
              <w:rPr>
                <w:rFonts w:ascii="黑体" w:eastAsia="黑体" w:hAnsi="黑体" w:cs="黑体" w:hint="eastAsia"/>
                <w:color w:val="000000"/>
                <w:spacing w:val="-6"/>
                <w:kern w:val="0"/>
                <w:sz w:val="24"/>
              </w:rPr>
              <w:t>优秀班主任</w:t>
            </w:r>
          </w:p>
        </w:tc>
        <w:tc>
          <w:tcPr>
            <w:tcW w:w="1811"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黑体" w:eastAsia="黑体" w:hAnsi="黑体" w:cs="黑体" w:hint="eastAsia"/>
                <w:color w:val="000000"/>
                <w:spacing w:val="-6"/>
                <w:kern w:val="0"/>
                <w:sz w:val="24"/>
              </w:rPr>
            </w:pPr>
            <w:r>
              <w:rPr>
                <w:rFonts w:ascii="黑体" w:eastAsia="黑体" w:hAnsi="黑体" w:cs="黑体" w:hint="eastAsia"/>
                <w:color w:val="000000"/>
                <w:spacing w:val="-6"/>
                <w:kern w:val="0"/>
                <w:sz w:val="24"/>
              </w:rPr>
              <w:t>优秀教育工作者</w:t>
            </w:r>
          </w:p>
        </w:tc>
      </w:tr>
      <w:tr w:rsidR="00096A64" w:rsidTr="00DC0CF1">
        <w:trPr>
          <w:trHeight w:val="483"/>
          <w:jc w:val="center"/>
        </w:trPr>
        <w:tc>
          <w:tcPr>
            <w:tcW w:w="278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jc w:val="center"/>
              <w:rPr>
                <w:rFonts w:ascii="黑体" w:eastAsia="黑体" w:hAnsi="黑体" w:cs="黑体"/>
                <w:color w:val="000000"/>
                <w:spacing w:val="-6"/>
                <w:sz w:val="24"/>
              </w:rPr>
            </w:pPr>
          </w:p>
        </w:tc>
        <w:tc>
          <w:tcPr>
            <w:tcW w:w="904"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jc w:val="center"/>
              <w:rPr>
                <w:rFonts w:ascii="黑体" w:eastAsia="黑体" w:hAnsi="黑体" w:cs="黑体"/>
                <w:color w:val="000000"/>
                <w:spacing w:val="-6"/>
                <w:sz w:val="24"/>
              </w:rPr>
            </w:pPr>
            <w:r>
              <w:rPr>
                <w:rFonts w:ascii="黑体" w:eastAsia="黑体" w:hAnsi="黑体" w:cs="黑体" w:hint="eastAsia"/>
                <w:color w:val="000000"/>
                <w:spacing w:val="-6"/>
                <w:kern w:val="0"/>
                <w:sz w:val="24"/>
              </w:rPr>
              <w:t>市级</w:t>
            </w:r>
          </w:p>
        </w:tc>
        <w:tc>
          <w:tcPr>
            <w:tcW w:w="904" w:type="dxa"/>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jc w:val="center"/>
              <w:rPr>
                <w:rFonts w:ascii="黑体" w:eastAsia="黑体" w:hAnsi="黑体" w:cs="黑体"/>
                <w:color w:val="000000"/>
                <w:spacing w:val="-6"/>
                <w:sz w:val="24"/>
              </w:rPr>
            </w:pPr>
            <w:r>
              <w:rPr>
                <w:rFonts w:ascii="黑体" w:eastAsia="黑体" w:hAnsi="黑体" w:cs="黑体" w:hint="eastAsia"/>
                <w:color w:val="000000"/>
                <w:spacing w:val="-6"/>
                <w:kern w:val="0"/>
                <w:sz w:val="24"/>
              </w:rPr>
              <w:t>系统级</w:t>
            </w:r>
          </w:p>
        </w:tc>
        <w:tc>
          <w:tcPr>
            <w:tcW w:w="904"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黑体" w:eastAsia="黑体" w:hAnsi="黑体" w:cs="黑体"/>
                <w:color w:val="000000"/>
                <w:spacing w:val="-6"/>
                <w:sz w:val="24"/>
              </w:rPr>
            </w:pPr>
            <w:r>
              <w:rPr>
                <w:rFonts w:ascii="黑体" w:eastAsia="黑体" w:hAnsi="黑体" w:cs="黑体" w:hint="eastAsia"/>
                <w:color w:val="000000"/>
                <w:spacing w:val="-6"/>
                <w:kern w:val="0"/>
                <w:sz w:val="24"/>
              </w:rPr>
              <w:t>市级</w:t>
            </w:r>
          </w:p>
        </w:tc>
        <w:tc>
          <w:tcPr>
            <w:tcW w:w="904"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黑体" w:eastAsia="黑体" w:hAnsi="黑体" w:cs="黑体"/>
                <w:color w:val="000000"/>
                <w:spacing w:val="-6"/>
                <w:sz w:val="24"/>
              </w:rPr>
            </w:pPr>
            <w:r>
              <w:rPr>
                <w:rFonts w:ascii="黑体" w:eastAsia="黑体" w:hAnsi="黑体" w:cs="黑体" w:hint="eastAsia"/>
                <w:color w:val="000000"/>
                <w:spacing w:val="-6"/>
                <w:kern w:val="0"/>
                <w:sz w:val="24"/>
              </w:rPr>
              <w:t>系统级</w:t>
            </w:r>
          </w:p>
        </w:tc>
        <w:tc>
          <w:tcPr>
            <w:tcW w:w="904"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096A64" w:rsidRDefault="00096A64" w:rsidP="00DC0CF1">
            <w:pPr>
              <w:jc w:val="center"/>
              <w:rPr>
                <w:rFonts w:ascii="黑体" w:eastAsia="黑体" w:hAnsi="黑体" w:cs="黑体"/>
                <w:color w:val="000000"/>
                <w:spacing w:val="-6"/>
                <w:sz w:val="24"/>
              </w:rPr>
            </w:pPr>
            <w:r>
              <w:rPr>
                <w:rFonts w:ascii="黑体" w:eastAsia="黑体" w:hAnsi="黑体" w:cs="黑体" w:hint="eastAsia"/>
                <w:color w:val="000000"/>
                <w:spacing w:val="-6"/>
                <w:kern w:val="0"/>
                <w:sz w:val="24"/>
              </w:rPr>
              <w:t>市级</w:t>
            </w:r>
          </w:p>
        </w:tc>
        <w:tc>
          <w:tcPr>
            <w:tcW w:w="909"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096A64" w:rsidRDefault="00096A64" w:rsidP="00DC0CF1">
            <w:pPr>
              <w:jc w:val="center"/>
              <w:rPr>
                <w:rFonts w:ascii="黑体" w:eastAsia="黑体" w:hAnsi="黑体" w:cs="黑体"/>
                <w:color w:val="000000"/>
                <w:spacing w:val="-6"/>
                <w:sz w:val="24"/>
              </w:rPr>
            </w:pPr>
            <w:r>
              <w:rPr>
                <w:rFonts w:ascii="黑体" w:eastAsia="黑体" w:hAnsi="黑体" w:cs="黑体" w:hint="eastAsia"/>
                <w:color w:val="000000"/>
                <w:spacing w:val="-6"/>
                <w:kern w:val="0"/>
                <w:sz w:val="24"/>
              </w:rPr>
              <w:t>系统级</w:t>
            </w:r>
          </w:p>
        </w:tc>
      </w:tr>
      <w:tr w:rsidR="00096A64" w:rsidTr="00DC0CF1">
        <w:trPr>
          <w:trHeight w:val="270"/>
          <w:jc w:val="center"/>
        </w:trPr>
        <w:tc>
          <w:tcPr>
            <w:tcW w:w="278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杭州师范大学</w:t>
            </w:r>
          </w:p>
        </w:tc>
        <w:tc>
          <w:tcPr>
            <w:tcW w:w="904" w:type="dxa"/>
            <w:tcBorders>
              <w:top w:val="nil"/>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8</w:t>
            </w:r>
          </w:p>
        </w:tc>
        <w:tc>
          <w:tcPr>
            <w:tcW w:w="904" w:type="dxa"/>
            <w:tcBorders>
              <w:top w:val="nil"/>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22</w:t>
            </w:r>
          </w:p>
        </w:tc>
        <w:tc>
          <w:tcPr>
            <w:tcW w:w="904"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5</w:t>
            </w:r>
          </w:p>
        </w:tc>
        <w:tc>
          <w:tcPr>
            <w:tcW w:w="909"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7</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浙大城市学院</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4</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12</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5</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西湖大学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6</w:t>
            </w:r>
          </w:p>
        </w:tc>
        <w:tc>
          <w:tcPr>
            <w:tcW w:w="904" w:type="dxa"/>
            <w:tcBorders>
              <w:top w:val="nil"/>
              <w:left w:val="nil"/>
              <w:bottom w:val="nil"/>
              <w:right w:val="single" w:sz="4" w:space="0" w:color="auto"/>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nil"/>
              <w:left w:val="single" w:sz="4" w:space="0" w:color="auto"/>
              <w:bottom w:val="nil"/>
              <w:right w:val="nil"/>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3</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杭州科技职业技术学院</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8</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4</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杭州职业技术学院</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8</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4</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浙江育英职业技术学院</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spacing w:val="-6"/>
                <w:kern w:val="0"/>
                <w:sz w:val="24"/>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6</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jc w:val="center"/>
              <w:rPr>
                <w:rFonts w:ascii="仿宋" w:eastAsia="仿宋" w:hAnsi="仿宋" w:cs="仿宋"/>
                <w:color w:val="000000"/>
                <w:spacing w:val="-6"/>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sz w:val="24"/>
              </w:rPr>
            </w:pPr>
            <w:r>
              <w:rPr>
                <w:rFonts w:ascii="仿宋" w:eastAsia="仿宋" w:hAnsi="仿宋" w:cs="仿宋" w:hint="eastAsia"/>
                <w:color w:val="000000"/>
                <w:kern w:val="0"/>
                <w:sz w:val="24"/>
                <w:lang/>
              </w:rPr>
              <w:t>2</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kern w:val="0"/>
                <w:sz w:val="24"/>
              </w:rPr>
              <w:t>杭州万向职业技术学院</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kern w:val="0"/>
                <w:sz w:val="24"/>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4</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1</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杭州高级中学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10</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hint="eastAsia"/>
                <w:color w:val="000000"/>
                <w:spacing w:val="-6"/>
                <w:kern w:val="0"/>
                <w:sz w:val="24"/>
              </w:rPr>
            </w:pPr>
            <w:r>
              <w:rPr>
                <w:rFonts w:ascii="仿宋" w:eastAsia="仿宋" w:hAnsi="仿宋" w:cs="仿宋" w:hint="eastAsia"/>
                <w:color w:val="000000"/>
                <w:kern w:val="0"/>
                <w:sz w:val="24"/>
                <w:lang/>
              </w:rPr>
              <w:t>4</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杭州第二中学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10</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4</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杭州第四中学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10</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4</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杭州第七中学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8</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r>
      <w:tr w:rsidR="00096A64" w:rsidTr="00DC0CF1">
        <w:trPr>
          <w:trHeight w:val="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杭州第九中学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杭州第十一中学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杭州师范大学附属中学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7</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杭州第十四中学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10</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4</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浙江大学附属中学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10</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4</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杭州学军中学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10</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4</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杭州市长河高级中学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5</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杭州市源清中学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5</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362"/>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杭州学军中学海创园学校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6</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杭州第二中学钱江学校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5</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杭州高级中学钱塘学校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kern w:val="0"/>
                <w:sz w:val="22"/>
                <w:szCs w:val="22"/>
                <w:lang/>
              </w:rPr>
              <w:t>5</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kern w:val="0"/>
                <w:sz w:val="22"/>
                <w:szCs w:val="22"/>
                <w:lang/>
              </w:rPr>
              <w:t>0</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杭州市旅游职校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6</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color w:val="000000"/>
                <w:kern w:val="0"/>
                <w:sz w:val="22"/>
                <w:szCs w:val="22"/>
                <w:lang/>
              </w:rPr>
              <w:t>3</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杭州市中策职校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7</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color w:val="000000"/>
                <w:kern w:val="0"/>
                <w:sz w:val="22"/>
                <w:szCs w:val="22"/>
                <w:lang/>
              </w:rPr>
              <w:t>4</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杭州市交通职高</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spacing w:val="-6"/>
                <w:kern w:val="0"/>
                <w:sz w:val="24"/>
              </w:rPr>
            </w:pPr>
            <w:r>
              <w:rPr>
                <w:rFonts w:ascii="宋体" w:hAnsi="宋体" w:cs="宋体" w:hint="eastAsia"/>
                <w:color w:val="000000"/>
                <w:kern w:val="0"/>
                <w:sz w:val="22"/>
                <w:szCs w:val="22"/>
                <w:lang/>
              </w:rPr>
              <w:t>2</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杭州市电子职校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6</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lastRenderedPageBreak/>
              <w:t>杭州市开元商贸职校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6</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杭州市财经职校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4</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杭州市人民职校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4</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杭州市美术职校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杭州市城西中学</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杭州文汇学校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杭州绿城育华学校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3</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2</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杭州市教育发展服务中心</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hint="eastAsia"/>
                <w:color w:val="000000"/>
                <w:spacing w:val="-6"/>
                <w:kern w:val="0"/>
                <w:sz w:val="24"/>
              </w:rPr>
            </w:pPr>
            <w:r>
              <w:rPr>
                <w:rFonts w:ascii="仿宋" w:eastAsia="仿宋" w:hAnsi="仿宋" w:cs="仿宋" w:hint="eastAsia"/>
                <w:color w:val="000000"/>
                <w:kern w:val="0"/>
                <w:sz w:val="24"/>
                <w:lang/>
              </w:rPr>
              <w:t>1</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杭州市教育考试院</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hint="eastAsia"/>
                <w:color w:val="000000"/>
                <w:spacing w:val="-6"/>
                <w:kern w:val="0"/>
                <w:sz w:val="24"/>
              </w:rPr>
            </w:pPr>
            <w:r>
              <w:rPr>
                <w:rFonts w:ascii="仿宋" w:eastAsia="仿宋" w:hAnsi="仿宋" w:cs="仿宋" w:hint="eastAsia"/>
                <w:color w:val="000000"/>
                <w:kern w:val="0"/>
                <w:sz w:val="24"/>
                <w:lang/>
              </w:rPr>
              <w:t>1</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杭州市教育科学研究院</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hint="eastAsia"/>
                <w:color w:val="000000"/>
                <w:spacing w:val="-6"/>
                <w:kern w:val="0"/>
                <w:sz w:val="24"/>
              </w:rPr>
            </w:pPr>
            <w:r>
              <w:rPr>
                <w:rFonts w:ascii="仿宋" w:eastAsia="仿宋" w:hAnsi="仿宋" w:cs="仿宋" w:hint="eastAsia"/>
                <w:color w:val="000000"/>
                <w:kern w:val="0"/>
                <w:sz w:val="24"/>
                <w:lang/>
              </w:rPr>
              <w:t>1</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r>
      <w:tr w:rsidR="00096A64" w:rsidTr="00DC0CF1">
        <w:trPr>
          <w:trHeight w:val="39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kern w:val="0"/>
                <w:sz w:val="24"/>
                <w:lang/>
              </w:rPr>
              <w:t>杭州市基础教育研究室</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sz w:val="24"/>
              </w:rPr>
              <w:t>/</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hint="eastAsia"/>
                <w:color w:val="000000"/>
                <w:spacing w:val="-6"/>
                <w:kern w:val="0"/>
                <w:sz w:val="24"/>
              </w:rPr>
            </w:pPr>
            <w:r>
              <w:rPr>
                <w:rFonts w:ascii="仿宋" w:eastAsia="仿宋" w:hAnsi="仿宋" w:cs="仿宋" w:hint="eastAsia"/>
                <w:color w:val="000000"/>
                <w:kern w:val="0"/>
                <w:sz w:val="24"/>
                <w:lang/>
              </w:rPr>
              <w:t>1</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宋体" w:hAnsi="宋体" w:cs="宋体" w:hint="eastAsia"/>
                <w:color w:val="000000"/>
                <w:kern w:val="0"/>
                <w:sz w:val="22"/>
                <w:szCs w:val="22"/>
                <w:lang/>
              </w:rPr>
              <w:t>1</w:t>
            </w:r>
          </w:p>
        </w:tc>
      </w:tr>
      <w:tr w:rsidR="00096A64" w:rsidTr="00DC0CF1">
        <w:trPr>
          <w:trHeight w:val="270"/>
          <w:jc w:val="center"/>
        </w:trPr>
        <w:tc>
          <w:tcPr>
            <w:tcW w:w="2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kern w:val="0"/>
                <w:sz w:val="24"/>
              </w:rPr>
              <w:t>合计</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kern w:val="0"/>
                <w:sz w:val="24"/>
              </w:rPr>
              <w:t>52</w:t>
            </w:r>
          </w:p>
        </w:tc>
        <w:tc>
          <w:tcPr>
            <w:tcW w:w="90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kern w:val="0"/>
                <w:sz w:val="24"/>
              </w:rPr>
              <w:t>219</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kern w:val="0"/>
                <w:sz w:val="24"/>
              </w:rPr>
              <w:t>33</w:t>
            </w:r>
          </w:p>
        </w:tc>
        <w:tc>
          <w:tcPr>
            <w:tcW w:w="9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kern w:val="0"/>
                <w:sz w:val="24"/>
              </w:rPr>
              <w:t>48</w:t>
            </w:r>
          </w:p>
        </w:tc>
        <w:tc>
          <w:tcPr>
            <w:tcW w:w="90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kern w:val="0"/>
                <w:sz w:val="24"/>
              </w:rPr>
              <w:t>83</w:t>
            </w:r>
          </w:p>
        </w:tc>
        <w:tc>
          <w:tcPr>
            <w:tcW w:w="90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96A64" w:rsidRDefault="00096A64" w:rsidP="00DC0CF1">
            <w:pPr>
              <w:widowControl/>
              <w:jc w:val="center"/>
              <w:textAlignment w:val="center"/>
              <w:rPr>
                <w:rFonts w:ascii="仿宋" w:eastAsia="仿宋" w:hAnsi="仿宋" w:cs="仿宋"/>
                <w:color w:val="000000"/>
                <w:spacing w:val="-6"/>
                <w:kern w:val="0"/>
                <w:sz w:val="24"/>
              </w:rPr>
            </w:pPr>
            <w:r>
              <w:rPr>
                <w:rFonts w:ascii="仿宋" w:eastAsia="仿宋" w:hAnsi="仿宋" w:cs="仿宋" w:hint="eastAsia"/>
                <w:color w:val="000000"/>
                <w:spacing w:val="-6"/>
                <w:kern w:val="0"/>
                <w:sz w:val="24"/>
              </w:rPr>
              <w:t>102</w:t>
            </w:r>
          </w:p>
        </w:tc>
      </w:tr>
    </w:tbl>
    <w:p w:rsidR="00096A64" w:rsidRDefault="00096A64" w:rsidP="00096A64">
      <w:pPr>
        <w:adjustRightInd w:val="0"/>
        <w:snapToGrid w:val="0"/>
        <w:spacing w:line="360" w:lineRule="auto"/>
        <w:rPr>
          <w:rFonts w:eastAsia="仿宋_GB2312"/>
          <w:sz w:val="32"/>
          <w:szCs w:val="32"/>
        </w:rPr>
      </w:pPr>
    </w:p>
    <w:p w:rsidR="00096A64" w:rsidRDefault="00096A64" w:rsidP="00096A64">
      <w:pPr>
        <w:jc w:val="left"/>
        <w:rPr>
          <w:rFonts w:eastAsia="仿宋_GB2312" w:hint="eastAsia"/>
          <w:snapToGrid w:val="0"/>
          <w:kern w:val="0"/>
          <w:sz w:val="24"/>
        </w:rPr>
      </w:pPr>
      <w:r>
        <w:rPr>
          <w:rFonts w:eastAsia="仿宋_GB2312" w:hint="eastAsia"/>
          <w:snapToGrid w:val="0"/>
          <w:kern w:val="0"/>
          <w:sz w:val="24"/>
        </w:rPr>
        <w:t>注：</w:t>
      </w:r>
    </w:p>
    <w:p w:rsidR="00096A64" w:rsidRDefault="00096A64" w:rsidP="00096A64">
      <w:pPr>
        <w:jc w:val="left"/>
        <w:rPr>
          <w:rFonts w:eastAsia="仿宋_GB2312"/>
          <w:snapToGrid w:val="0"/>
          <w:kern w:val="0"/>
          <w:sz w:val="24"/>
        </w:rPr>
      </w:pPr>
      <w:r>
        <w:rPr>
          <w:rFonts w:eastAsia="仿宋_GB2312" w:hint="eastAsia"/>
          <w:snapToGrid w:val="0"/>
          <w:kern w:val="0"/>
          <w:sz w:val="24"/>
        </w:rPr>
        <w:t>1.</w:t>
      </w:r>
      <w:r>
        <w:rPr>
          <w:rFonts w:eastAsia="仿宋_GB2312" w:hint="eastAsia"/>
          <w:snapToGrid w:val="0"/>
          <w:kern w:val="0"/>
          <w:sz w:val="24"/>
        </w:rPr>
        <w:t>市直属学校按每校不超过</w:t>
      </w:r>
      <w:r>
        <w:rPr>
          <w:rFonts w:eastAsia="仿宋_GB2312" w:hint="eastAsia"/>
          <w:snapToGrid w:val="0"/>
          <w:kern w:val="0"/>
          <w:sz w:val="24"/>
        </w:rPr>
        <w:t>1</w:t>
      </w:r>
      <w:r>
        <w:rPr>
          <w:rFonts w:eastAsia="仿宋_GB2312" w:hint="eastAsia"/>
          <w:snapToGrid w:val="0"/>
          <w:kern w:val="0"/>
          <w:sz w:val="24"/>
        </w:rPr>
        <w:t>名推荐市级优秀校长候选人，由市教育局组织差额评审。</w:t>
      </w:r>
    </w:p>
    <w:p w:rsidR="00096A64" w:rsidRDefault="00096A64" w:rsidP="00096A64">
      <w:pPr>
        <w:jc w:val="left"/>
        <w:rPr>
          <w:rFonts w:eastAsia="仿宋_GB2312" w:hint="eastAsia"/>
          <w:snapToGrid w:val="0"/>
          <w:kern w:val="0"/>
          <w:sz w:val="24"/>
        </w:rPr>
      </w:pPr>
      <w:r>
        <w:rPr>
          <w:rFonts w:eastAsia="仿宋_GB2312" w:hint="eastAsia"/>
          <w:snapToGrid w:val="0"/>
          <w:kern w:val="0"/>
          <w:sz w:val="24"/>
        </w:rPr>
        <w:t>2.</w:t>
      </w:r>
      <w:r>
        <w:rPr>
          <w:rFonts w:eastAsia="仿宋_GB2312" w:hint="eastAsia"/>
          <w:snapToGrid w:val="0"/>
          <w:kern w:val="0"/>
          <w:sz w:val="24"/>
        </w:rPr>
        <w:t>市属高校、直属学校按指标推荐市级优秀教师、优秀班主任、优秀教育工作者候选人，由市教育局组织差额评审；未能入围市级者自动成为系统级优秀教师、优秀班主任、优秀教育工作者候选人，由市教育局评定。</w:t>
      </w:r>
    </w:p>
    <w:p w:rsidR="00096A64" w:rsidRDefault="00096A64" w:rsidP="00096A64">
      <w:pPr>
        <w:rPr>
          <w:rFonts w:eastAsia="仿宋_GB2312" w:hint="eastAsia"/>
          <w:snapToGrid w:val="0"/>
          <w:kern w:val="0"/>
          <w:sz w:val="24"/>
        </w:rPr>
      </w:pPr>
      <w:r>
        <w:rPr>
          <w:rFonts w:eastAsia="仿宋_GB2312" w:hint="eastAsia"/>
          <w:snapToGrid w:val="0"/>
          <w:kern w:val="0"/>
          <w:sz w:val="24"/>
        </w:rPr>
        <w:t>3.</w:t>
      </w:r>
      <w:r>
        <w:rPr>
          <w:rFonts w:eastAsia="仿宋_GB2312" w:hint="eastAsia"/>
          <w:snapToGrid w:val="0"/>
          <w:kern w:val="0"/>
          <w:sz w:val="24"/>
        </w:rPr>
        <w:t>优秀教育工作者推荐时，在抗击“新冠肺炎”疫情、投身“无疫学校”创建中有突出表现的一线教职员工原则上不少于可推荐市级、系统级优秀教育工作者指标总数的</w:t>
      </w:r>
      <w:r>
        <w:rPr>
          <w:rFonts w:eastAsia="仿宋_GB2312" w:hint="eastAsia"/>
          <w:snapToGrid w:val="0"/>
          <w:kern w:val="0"/>
          <w:sz w:val="24"/>
        </w:rPr>
        <w:t>1/3</w:t>
      </w:r>
      <w:r>
        <w:rPr>
          <w:rFonts w:eastAsia="仿宋_GB2312" w:hint="eastAsia"/>
          <w:snapToGrid w:val="0"/>
          <w:kern w:val="0"/>
          <w:sz w:val="24"/>
        </w:rPr>
        <w:t>，并注明“抗疫”字样及占用市级或系统级指标情况，系统级指标可直接评定，市级指标需参加注</w:t>
      </w:r>
      <w:r>
        <w:rPr>
          <w:rFonts w:eastAsia="仿宋_GB2312" w:hint="eastAsia"/>
          <w:snapToGrid w:val="0"/>
          <w:kern w:val="0"/>
          <w:sz w:val="24"/>
        </w:rPr>
        <w:t>2</w:t>
      </w:r>
      <w:r>
        <w:rPr>
          <w:rFonts w:eastAsia="仿宋_GB2312" w:hint="eastAsia"/>
          <w:snapToGrid w:val="0"/>
          <w:kern w:val="0"/>
          <w:sz w:val="24"/>
        </w:rPr>
        <w:t>的差额评审。</w:t>
      </w:r>
    </w:p>
    <w:p w:rsidR="00096A64" w:rsidRDefault="00096A64" w:rsidP="00096A64">
      <w:pPr>
        <w:jc w:val="left"/>
        <w:rPr>
          <w:rFonts w:ascii="黑体" w:eastAsia="黑体" w:hAnsi="黑体" w:cs="黑体" w:hint="eastAsia"/>
          <w:snapToGrid w:val="0"/>
          <w:kern w:val="0"/>
          <w:sz w:val="32"/>
          <w:szCs w:val="32"/>
        </w:rPr>
      </w:pPr>
      <w:r>
        <w:rPr>
          <w:rFonts w:eastAsia="仿宋_GB2312" w:hint="eastAsia"/>
          <w:snapToGrid w:val="0"/>
          <w:kern w:val="0"/>
          <w:sz w:val="24"/>
        </w:rPr>
        <w:t>4.</w:t>
      </w:r>
      <w:r>
        <w:rPr>
          <w:rFonts w:eastAsia="仿宋_GB2312" w:hint="eastAsia"/>
          <w:snapToGrid w:val="0"/>
          <w:kern w:val="0"/>
          <w:sz w:val="24"/>
        </w:rPr>
        <w:t>市级其他单位如有推荐，由市教育局根据其推荐情况，在组织差额评审时予以统筹评定。</w:t>
      </w:r>
      <w:r>
        <w:rPr>
          <w:rFonts w:ascii="仿宋" w:eastAsia="仿宋" w:hAnsi="仿宋" w:cs="仿宋" w:hint="eastAsia"/>
          <w:snapToGrid w:val="0"/>
          <w:kern w:val="0"/>
          <w:sz w:val="28"/>
          <w:szCs w:val="28"/>
        </w:rPr>
        <w:br w:type="page"/>
      </w:r>
      <w:r>
        <w:rPr>
          <w:rFonts w:ascii="黑体" w:eastAsia="黑体" w:hAnsi="黑体" w:cs="黑体" w:hint="eastAsia"/>
          <w:snapToGrid w:val="0"/>
          <w:kern w:val="0"/>
          <w:sz w:val="32"/>
          <w:szCs w:val="32"/>
        </w:rPr>
        <w:lastRenderedPageBreak/>
        <w:t>附件3</w:t>
      </w:r>
    </w:p>
    <w:p w:rsidR="00096A64" w:rsidRDefault="00096A64" w:rsidP="00096A64">
      <w:pPr>
        <w:adjustRightInd w:val="0"/>
        <w:snapToGrid w:val="0"/>
        <w:spacing w:afterLines="50"/>
        <w:ind w:right="85"/>
        <w:rPr>
          <w:rFonts w:ascii="黑体" w:eastAsia="黑体" w:hAnsi="黑体" w:cs="黑体" w:hint="eastAsia"/>
          <w:snapToGrid w:val="0"/>
          <w:kern w:val="0"/>
          <w:sz w:val="32"/>
          <w:szCs w:val="32"/>
        </w:rPr>
      </w:pPr>
    </w:p>
    <w:p w:rsidR="00096A64" w:rsidRDefault="00096A64" w:rsidP="00096A64">
      <w:pPr>
        <w:adjustRightInd w:val="0"/>
        <w:snapToGrid w:val="0"/>
        <w:spacing w:line="312" w:lineRule="auto"/>
        <w:jc w:val="center"/>
        <w:rPr>
          <w:rFonts w:ascii="仿宋" w:eastAsia="小标宋" w:hAnsi="仿宋" w:cs="仿宋"/>
          <w:snapToGrid w:val="0"/>
          <w:kern w:val="0"/>
          <w:sz w:val="28"/>
          <w:szCs w:val="28"/>
        </w:rPr>
      </w:pPr>
      <w:r>
        <w:rPr>
          <w:rFonts w:ascii="小标宋" w:eastAsia="小标宋" w:hAnsi="仿宋" w:cs="仿宋" w:hint="eastAsia"/>
          <w:snapToGrid w:val="0"/>
          <w:kern w:val="0"/>
          <w:sz w:val="42"/>
          <w:szCs w:val="42"/>
        </w:rPr>
        <w:t>《中小学教师违反职业道德行为处理办法（2018年修订）》第四条所列负面行为</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（一）在教育教学活动中及其他场合有损害党中央权威、违背党的路线方针政策的言行。</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（二）损害国家利益、社会公共利益，或违背社会公序良俗</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（三）通过课堂、论坛、讲座、信息网络及其他渠道发表、转发错误观点，或编造散布虚假信息、不良信息。</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（四）违反教学纪律，敷衍教学，或擅自从事影响教育教学本职工作的兼职兼薪行为。</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（五）歧视、侮辱学生，虐待、伤害学生。</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（六）在教育教学活动中遇突发事件、面临危险时，不顾学生安危，擅离职守，自行逃离。</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（七）与学生发生不正当关系，有任何形式的猥亵、性骚扰行为。</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（八）在招生、考试、推优、保送及绩效考核、岗位聘用、职称评聘、评优评奖等工作中徇私舞弊、弄虚作假。</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（九）索要、收受学生及家长财物或参加由学生及家长付费的宴请、旅游、娱乐休闲等活动，向学生推销图书报刊、教辅材料、社会保险或利用家长资源谋取私利。</w:t>
      </w:r>
    </w:p>
    <w:p w:rsidR="00096A64" w:rsidRDefault="00096A64" w:rsidP="00096A64">
      <w:pPr>
        <w:adjustRightInd w:val="0"/>
        <w:snapToGrid w:val="0"/>
        <w:spacing w:line="480" w:lineRule="exact"/>
        <w:ind w:right="86" w:firstLine="560"/>
        <w:rPr>
          <w:rFonts w:ascii="仿宋" w:eastAsia="仿宋" w:hAnsi="仿宋" w:cs="仿宋" w:hint="eastAsia"/>
          <w:snapToGrid w:val="0"/>
          <w:kern w:val="0"/>
          <w:sz w:val="28"/>
          <w:szCs w:val="28"/>
        </w:rPr>
      </w:pPr>
      <w:r>
        <w:rPr>
          <w:rFonts w:ascii="仿宋" w:eastAsia="仿宋" w:hAnsi="仿宋" w:cs="仿宋" w:hint="eastAsia"/>
          <w:snapToGrid w:val="0"/>
          <w:kern w:val="0"/>
          <w:sz w:val="28"/>
          <w:szCs w:val="28"/>
        </w:rPr>
        <w:t>（十）组织、参与有偿补课，或为校外培训机构和他人介绍生源、提供相关信息。</w:t>
      </w:r>
    </w:p>
    <w:p w:rsidR="00096A64" w:rsidRDefault="00096A64" w:rsidP="00096A64">
      <w:pPr>
        <w:adjustRightInd w:val="0"/>
        <w:snapToGrid w:val="0"/>
        <w:spacing w:line="480" w:lineRule="exact"/>
        <w:ind w:right="86" w:firstLine="560"/>
        <w:rPr>
          <w:rFonts w:ascii="仿宋_GB2312" w:eastAsia="仿宋_GB2312" w:hint="eastAsia"/>
          <w:sz w:val="28"/>
          <w:szCs w:val="28"/>
        </w:rPr>
      </w:pPr>
      <w:r>
        <w:rPr>
          <w:rFonts w:ascii="仿宋" w:eastAsia="仿宋" w:hAnsi="仿宋" w:cs="仿宋" w:hint="eastAsia"/>
          <w:snapToGrid w:val="0"/>
          <w:kern w:val="0"/>
          <w:sz w:val="28"/>
          <w:szCs w:val="28"/>
        </w:rPr>
        <w:t>（十一）其他违反职业道德的行为。</w:t>
      </w:r>
    </w:p>
    <w:p w:rsidR="006911A5" w:rsidRPr="00096A64" w:rsidRDefault="006911A5"/>
    <w:sectPr w:rsidR="006911A5" w:rsidRPr="00096A64">
      <w:headerReference w:type="default" r:id="rId10"/>
      <w:footerReference w:type="even" r:id="rId11"/>
      <w:footerReference w:type="default" r:id="rId12"/>
      <w:pgSz w:w="11906" w:h="16838"/>
      <w:pgMar w:top="1797" w:right="1440" w:bottom="1797" w:left="1440" w:header="851" w:footer="1247"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1A5" w:rsidRDefault="006911A5" w:rsidP="00096A64">
      <w:r>
        <w:separator/>
      </w:r>
    </w:p>
  </w:endnote>
  <w:endnote w:type="continuationSeparator" w:id="1">
    <w:p w:rsidR="006911A5" w:rsidRDefault="006911A5" w:rsidP="00096A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4" w:rsidRDefault="00096A64">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96A64" w:rsidRDefault="00096A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4" w:rsidRDefault="00096A64">
    <w:pPr>
      <w:pStyle w:val="a4"/>
      <w:framePr w:wrap="around" w:vAnchor="text" w:hAnchor="margin" w:xAlign="outside" w:y="1"/>
      <w:ind w:leftChars="100" w:left="210" w:rightChars="100" w:right="21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1</w:t>
    </w:r>
    <w:r>
      <w:rPr>
        <w:sz w:val="28"/>
        <w:szCs w:val="28"/>
      </w:rPr>
      <w:fldChar w:fldCharType="end"/>
    </w:r>
    <w:r>
      <w:rPr>
        <w:rStyle w:val="a5"/>
        <w:rFonts w:hint="eastAsia"/>
        <w:sz w:val="28"/>
        <w:szCs w:val="28"/>
      </w:rPr>
      <w:t xml:space="preserve"> </w:t>
    </w:r>
    <w:r>
      <w:rPr>
        <w:rStyle w:val="a5"/>
        <w:rFonts w:hint="eastAsia"/>
        <w:sz w:val="28"/>
        <w:szCs w:val="28"/>
      </w:rPr>
      <w:t>—</w:t>
    </w:r>
  </w:p>
  <w:p w:rsidR="00096A64" w:rsidRDefault="00096A6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11A5">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6911A5">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11A5">
    <w:pPr>
      <w:pStyle w:val="a4"/>
      <w:framePr w:wrap="around" w:vAnchor="text" w:hAnchor="margin" w:xAlign="outside" w:y="1"/>
      <w:ind w:leftChars="100" w:left="210" w:rightChars="100" w:right="21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096A64">
      <w:rPr>
        <w:rStyle w:val="a5"/>
        <w:noProof/>
        <w:sz w:val="28"/>
        <w:szCs w:val="28"/>
      </w:rPr>
      <w:t>4</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6911A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1A5" w:rsidRDefault="006911A5" w:rsidP="00096A64">
      <w:r>
        <w:separator/>
      </w:r>
    </w:p>
  </w:footnote>
  <w:footnote w:type="continuationSeparator" w:id="1">
    <w:p w:rsidR="006911A5" w:rsidRDefault="006911A5" w:rsidP="00096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4" w:rsidRDefault="00096A6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11A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DED78"/>
    <w:multiLevelType w:val="singleLevel"/>
    <w:tmpl w:val="899DED78"/>
    <w:lvl w:ilvl="0">
      <w:start w:val="2"/>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A64"/>
    <w:rsid w:val="00096A64"/>
    <w:rsid w:val="00691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96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6A64"/>
    <w:rPr>
      <w:sz w:val="18"/>
      <w:szCs w:val="18"/>
    </w:rPr>
  </w:style>
  <w:style w:type="paragraph" w:styleId="a4">
    <w:name w:val="footer"/>
    <w:basedOn w:val="a"/>
    <w:link w:val="Char0"/>
    <w:unhideWhenUsed/>
    <w:rsid w:val="00096A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6A64"/>
    <w:rPr>
      <w:sz w:val="18"/>
      <w:szCs w:val="18"/>
    </w:rPr>
  </w:style>
  <w:style w:type="character" w:styleId="a5">
    <w:name w:val="page number"/>
    <w:basedOn w:val="a0"/>
    <w:rsid w:val="00096A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2022-06-24T14:08:00Z</dcterms:created>
  <dcterms:modified xsi:type="dcterms:W3CDTF">2022-06-24T14:08:00Z</dcterms:modified>
</cp:coreProperties>
</file>