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杭州第四中学吴山校区202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年招收体育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艺术类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特长生工作实施办法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根据《杭州市教育局关于202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年杭州市区各类高中招生工作的通知》（杭教基〔202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号）（以下简称《招生工作通知》）和《杭州市教育局关于2022年杭州市区各类高中学校招收体育、艺术和科技类特长生工作的通知》（杭教办德体卫艺〔2022〕40号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（以下简称《招收特长生工作通知》）的有关规定，结合本校办学实际及特色，特制定我校吴山校区202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年招收体育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类和艺术类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特长生工作实施办法。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一、指导思想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进一步推进素质教育，充分发挥学校的办学优势，推动学校多样特色化发展，发现、选拔具有一定特长的初中毕业生，实施因材施教，促进学生全面而有个性发展。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2.坚持“公开、公平、公正”和德、智、体全面衡量择优录取的原则。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二、组织机构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1.成立由校长任组长的学校招生工作领导小组。负责研究、决定特长生招生工作中的重大事项，负责对特长专业水平测试合格的学生名单审核、上报审批和初中毕业升学考试后的相关录取工作。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2.领导小组下设办公室，负责对报名学生进行资格初审，组织特长专业水平测试，负责考生特长专业水平测试成绩汇总、上报审核及网上公示等事宜。</w:t>
      </w:r>
    </w:p>
    <w:p>
      <w:pPr>
        <w:widowControl/>
        <w:shd w:val="clear" w:color="auto" w:fill="FFFFFF"/>
        <w:snapToGrid w:val="0"/>
        <w:spacing w:line="288" w:lineRule="auto"/>
        <w:ind w:firstLine="567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3.成立由学校纪委书记任组长的招生工作纪检监督小组，全程监督招生过程。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三、招生计划及报名条件</w:t>
      </w:r>
    </w:p>
    <w:p>
      <w:pPr>
        <w:widowControl/>
        <w:shd w:val="clear" w:color="auto" w:fill="FFFFFF"/>
        <w:wordWrap/>
        <w:adjustRightInd/>
        <w:spacing w:line="288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（一）招生计划</w:t>
      </w:r>
    </w:p>
    <w:p>
      <w:pPr>
        <w:widowControl/>
        <w:shd w:val="clear" w:color="auto" w:fill="FFFFFF"/>
        <w:wordWrap/>
        <w:adjustRightInd/>
        <w:snapToGrid/>
        <w:spacing w:line="288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体育类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男子篮球：外线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名；游泳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男子混合泳1名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男子自由泳2名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女子自由泳1名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田径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短跑（100米或200米或400米）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1名，男子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跳高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1名，男子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跨栏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男子标枪1名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国际象棋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艺术类3名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中提琴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名，圆号1名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共24名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line="288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（二）报名条件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56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符合《招生工作通知》和《招收特长生工作通知》中规定的招生对象和范围。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体育类考生须符合以下条件之一：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年杭州市中小学生田径运动会获初中组个人项目比赛前八名者；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初中教育阶段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指义务教育阶段七至九年级，下同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获相关项目国家二级运动员及以上证书者；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初中教育阶段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获杭州市中小学生阳光体育竞赛国际象棋初中组个人项目前六名者。（比赛项目认定时间始于2021年7月）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年获杭州市区中学生篮球比赛初中男子组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冠军队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主力队员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2.艺术类考生须符合以下条件之一：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⑴初中教育阶段获省级及以上教育行政部门主办（相关文件的第一发文单位，下同）的艺术现场比赛个人项目（四人及以下）一、二、三等奖或前六名者（获奖证书上盖有相应教育行政部门印章，不含各级艺术教育委员会）。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⑵初中教育阶段获杭州市中小学生艺术节独奏、重奏（四人及以下）、协奏（四人及以下）、齐奏（四人及以下）等现场比赛中学组个人项目一、二等奖者。</w:t>
      </w:r>
    </w:p>
    <w:p>
      <w:pPr>
        <w:widowControl/>
        <w:shd w:val="clear" w:color="auto" w:fill="FFFFFF"/>
        <w:wordWrap/>
        <w:adjustRightInd/>
        <w:snapToGrid w:val="0"/>
        <w:spacing w:line="28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⑶初三阶段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获杭州市中小学生艺术团“优秀团员”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相关项目）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称号者。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四、报名办法和资格审查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符合我校招收特长生条件的考生（含个别生）在规定的时间（5月13日8:00至5月14日18:00），自行登录杭州市区各类高中招生信息管理系统（www.hzjyks.net是唯一网址）进行特长专业水平测试报名。每位考生只能报一个特长项目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已报名考生在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日13:30—16:00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，持本人身份证（或学生证）和相关特长证明材料（原件及复印件）到我校吴山校区（延安路19号）进行报考确认和资格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审核，考生和家长需共同签名确认《报考信息表》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288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3.我校将审核结果通知相关考生。审核通过的应届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 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日向所读初中学校领取《202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年杭州市区各类高中学校招收特长生报名表》（以下简称《报名表》），个别生5 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日12:30—16:00期间，凭本人身份证到我校吴山校区领取《报名表》。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五、特长专业水平测试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（一）5 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日（周六）上午组织特长专业水平测试，时间为半天。考生凭本人身份证（或学生证）和《报名表》原件（二者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缺一），来我校参加特长专业水平测试。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测试地点：体育类（除国际象棋）,下沙校区；</w:t>
      </w:r>
    </w:p>
    <w:p>
      <w:pPr>
        <w:widowControl/>
        <w:numPr>
          <w:ilvl w:val="0"/>
          <w:numId w:val="0"/>
        </w:numPr>
        <w:shd w:val="clear" w:color="auto" w:fill="FFFFFF"/>
        <w:snapToGrid w:val="0"/>
        <w:spacing w:line="288" w:lineRule="auto"/>
        <w:ind w:firstLine="3200" w:firstLineChars="10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艺术类及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国际象棋，吴山校区。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（三）特长专业水平测试内容和成绩计算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【体育类】</w:t>
      </w:r>
    </w:p>
    <w:p>
      <w:pPr>
        <w:widowControl/>
        <w:shd w:val="clear" w:color="auto" w:fill="FFFFFF"/>
        <w:snapToGrid w:val="0"/>
        <w:spacing w:line="288" w:lineRule="auto"/>
        <w:ind w:firstLine="562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田径：</w:t>
      </w:r>
    </w:p>
    <w:p>
      <w:pPr>
        <w:widowControl/>
        <w:shd w:val="clear" w:color="auto" w:fill="FFFFFF"/>
        <w:snapToGrid w:val="0"/>
        <w:spacing w:line="288" w:lineRule="auto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专业成绩1：初中教育阶段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</w:t>
      </w:r>
      <w:r>
        <w:rPr>
          <w:rFonts w:hint="eastAsia" w:ascii="仿宋_GB2312" w:hAnsi="仿宋_GB2312" w:eastAsia="仿宋_GB2312" w:cs="仿宋_GB2312"/>
          <w:sz w:val="32"/>
          <w:szCs w:val="32"/>
        </w:rPr>
        <w:t>田径国家二级运动员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证书专业成绩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为100分，初中教育阶段获省级及以上教育行政部门主办（相关文件的第一发文单位）的体育竞赛田径个人项目第一名及202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年杭州市中小学生田径运动会初中男子组个人项目比赛第一名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为100分，初中教育阶段获省级及以上教育行政部门主办（相关文件的第一发文单位）的体育竞赛田径个人项目第二名及202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年杭州市中小学生田径运动会初中男子组个人项目比赛第二名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为90分，以后名次每降低一名专业成绩降5分。不重复计分，以最高一项成绩计。</w:t>
      </w:r>
    </w:p>
    <w:p>
      <w:pPr>
        <w:widowControl/>
        <w:shd w:val="clear" w:color="auto" w:fill="FFFFFF"/>
        <w:snapToGrid w:val="0"/>
        <w:spacing w:line="288" w:lineRule="auto"/>
        <w:ind w:firstLine="5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专业成绩2：评分标准：</w:t>
      </w:r>
    </w:p>
    <w:tbl>
      <w:tblPr>
        <w:tblStyle w:val="6"/>
        <w:tblW w:w="85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168"/>
        <w:gridCol w:w="93"/>
        <w:gridCol w:w="992"/>
        <w:gridCol w:w="93"/>
        <w:gridCol w:w="1022"/>
        <w:gridCol w:w="53"/>
        <w:gridCol w:w="1187"/>
        <w:gridCol w:w="93"/>
        <w:gridCol w:w="1147"/>
        <w:gridCol w:w="93"/>
        <w:gridCol w:w="1069"/>
        <w:gridCol w:w="234"/>
        <w:gridCol w:w="1042"/>
        <w:gridCol w:w="37"/>
        <w:gridCol w:w="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285" w:hRule="atLeast"/>
          <w:jc w:val="center"/>
        </w:trPr>
        <w:tc>
          <w:tcPr>
            <w:tcW w:w="837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0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男子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330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项目</w:t>
            </w:r>
          </w:p>
        </w:tc>
        <w:tc>
          <w:tcPr>
            <w:tcW w:w="58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评分标准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285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100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11.9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11.7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11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200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23.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23.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23.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23.1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0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400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53.5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.5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800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2：10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2：08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2：06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2：04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2：02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1500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：30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：25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：20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4：15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4：10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110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米栏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16.50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16.00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.2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5.0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栏高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91.4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跳高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75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80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跳远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6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6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6.50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三级跳远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11.40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11.70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2.50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3.00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285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铅球</w:t>
            </w:r>
          </w:p>
        </w:tc>
        <w:tc>
          <w:tcPr>
            <w:tcW w:w="10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14.50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  <w:highlight w:val="none"/>
              </w:rPr>
              <w:t>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铁饼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  <w:highlight w:val="none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  <w:highlight w:val="none"/>
              </w:rPr>
              <w:t>标枪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highlight w:val="none"/>
                <w:lang w:val="en-US" w:eastAsia="zh-CN"/>
              </w:rPr>
              <w:t>48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  <w:highlight w:val="none"/>
              </w:rPr>
              <w:t>700g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285" w:hRule="atLeast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85" w:hRule="atLeast"/>
          <w:jc w:val="center"/>
        </w:trPr>
        <w:tc>
          <w:tcPr>
            <w:tcW w:w="84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5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评分标准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85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60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13.7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13.5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12.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.3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7.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26.5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400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1:05.00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1:04.00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1:0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1:0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1:0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800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2:40.00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：35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：30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：25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：20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1500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5：15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5：10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5：0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5.00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5：00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：55</w:t>
            </w: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100</w:t>
            </w: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米栏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17.2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17.0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6.8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16.5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ahoma"/>
                <w:color w:val="auto"/>
                <w:sz w:val="20"/>
                <w:szCs w:val="20"/>
              </w:rPr>
              <w:t>16.2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栏高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84cm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跳高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1.35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1.50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1.56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跳远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4.80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5.00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5.30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三级跳远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10.70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10.80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0.90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1.20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285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铅球</w:t>
            </w:r>
          </w:p>
        </w:tc>
        <w:tc>
          <w:tcPr>
            <w:tcW w:w="10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10.4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10.8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11.2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11.6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</w:rPr>
              <w:t>4kg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铁饼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34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Cs w:val="21"/>
              </w:rPr>
              <w:t>1kg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30" w:hRule="atLeast"/>
          <w:jc w:val="center"/>
        </w:trPr>
        <w:tc>
          <w:tcPr>
            <w:tcW w:w="1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Tahoma"/>
                <w:color w:val="auto"/>
                <w:sz w:val="20"/>
                <w:szCs w:val="20"/>
              </w:rPr>
              <w:t>标枪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29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35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600g</w:t>
            </w:r>
          </w:p>
        </w:tc>
      </w:tr>
    </w:tbl>
    <w:p>
      <w:pPr>
        <w:widowControl/>
        <w:shd w:val="clear" w:color="auto" w:fill="FFFFFF"/>
        <w:snapToGrid w:val="0"/>
        <w:spacing w:line="288" w:lineRule="auto"/>
        <w:ind w:firstLine="56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00" w:lineRule="auto"/>
        <w:ind w:firstLine="56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篮球：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专业成绩1：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初中教育阶段获篮球项目国家二级运动员及以上证书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为100分，202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年杭州市区中学生篮球比赛初中组冠军队主力队员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不重复计分，以最高一项成绩计。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专业成绩2：根据篮球队建设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需要，身高（净高）1.90米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以下的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为外线考生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由学校组织测试。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一、测试内容与权重</w:t>
      </w:r>
    </w:p>
    <w:tbl>
      <w:tblPr>
        <w:tblStyle w:val="6"/>
        <w:tblW w:w="7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7"/>
        <w:gridCol w:w="172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一级指标</w:t>
            </w:r>
          </w:p>
        </w:tc>
        <w:tc>
          <w:tcPr>
            <w:tcW w:w="3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      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二级指标</w:t>
            </w:r>
          </w:p>
        </w:tc>
        <w:tc>
          <w:tcPr>
            <w:tcW w:w="17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权重分（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内容</w:t>
            </w:r>
          </w:p>
        </w:tc>
        <w:tc>
          <w:tcPr>
            <w:tcW w:w="17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身体素质（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％）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助跑摸高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基本技术（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％）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一分钟投篮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综合技术（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％）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半场运球上篮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综合技术评定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实战能力（</w:t>
            </w: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％）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全场或半场对抗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     40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二、测试方法与评价标准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（一）身体素质（10分）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1.测试项目：助跑摸高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2.测试方法：助跑起跳摸高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3.测试要求：左右手不限，摸最高点计其成绩，每人两次，取最高成绩。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4.评分标准（米）：</w:t>
      </w:r>
    </w:p>
    <w:tbl>
      <w:tblPr>
        <w:tblStyle w:val="6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783"/>
        <w:gridCol w:w="782"/>
        <w:gridCol w:w="782"/>
        <w:gridCol w:w="782"/>
        <w:gridCol w:w="782"/>
        <w:gridCol w:w="782"/>
        <w:gridCol w:w="782"/>
        <w:gridCol w:w="793"/>
        <w:gridCol w:w="812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3.15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3.10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3.00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2.95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2.92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2.89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2.86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2.83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2.80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w:t>  </w:t>
      </w:r>
    </w:p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（二）基本技术（20分）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1.测试项目：一分钟投篮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2.测试方法：外线考生在三分线外投篮后自抢篮板球，再运球至三分线外投篮，以投中次数评分。</w:t>
      </w:r>
    </w:p>
    <w:p>
      <w:pPr>
        <w:widowControl/>
        <w:shd w:val="clear" w:color="auto" w:fill="FFFFFF"/>
        <w:spacing w:line="510" w:lineRule="atLeast"/>
        <w:ind w:firstLine="1575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       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_x0000_i1025" o:spt="75" type="#_x0000_t75" style="height:104.4pt;width:99.6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w:t> </w:t>
      </w:r>
    </w:p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3.测试要求：不允许两次运球、走步或踩线。如出现上述违例，中篮无效。每人限测两次，取最好成绩。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4.评分标准</w:t>
      </w:r>
    </w:p>
    <w:tbl>
      <w:tblPr>
        <w:tblStyle w:val="6"/>
        <w:tblW w:w="6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480"/>
        <w:gridCol w:w="592"/>
        <w:gridCol w:w="592"/>
        <w:gridCol w:w="592"/>
        <w:gridCol w:w="592"/>
        <w:gridCol w:w="592"/>
        <w:gridCol w:w="539"/>
        <w:gridCol w:w="540"/>
        <w:gridCol w:w="53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外线中次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Calibri" w:hAnsi="Calibri" w:eastAsia="微软雅黑" w:cs="宋体"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ind w:firstLine="4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w:t> 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（三）综合技术（30分）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1.测试项目：半场综合运球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测试方法:考生在球场的1点站立，面向前场，持球于右侧边线中点处站立，右手运球，并作行进间右手上篮，中篮后（可以补篮）右手运球至对侧中角线，脚踩到标志线后换左手运球返回并做行进间左手上篮，中篮后左手运球到右侧中角线，踩到标志线后换右手运球，按同样方式再进行一次。如此命中4球并返回到原起点时停表。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                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_x0000_i1026" o:spt="75" type="#_x0000_t75" style="height:104.4pt;width:99.6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kern w:val="0"/>
          <w:szCs w:val="21"/>
        </w:rPr>
        <w:t>  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w:t> </w:t>
      </w:r>
    </w:p>
    <w:p>
      <w:pPr>
        <w:widowControl/>
        <w:shd w:val="clear" w:color="auto" w:fill="FFFFFF"/>
        <w:snapToGrid w:val="0"/>
        <w:spacing w:line="510" w:lineRule="atLeas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（2）测试要求：考生必须任意一脚踩到标志线内地面，方可变向。不允许出现两次运球、走步、漏做动作等情况，出现一次加1秒。每人限测两次，取最好成绩。</w:t>
      </w:r>
    </w:p>
    <w:p>
      <w:pPr>
        <w:widowControl/>
        <w:shd w:val="clear" w:color="auto" w:fill="FFFFFF"/>
        <w:snapToGrid w:val="0"/>
        <w:spacing w:line="510" w:lineRule="atLeas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（3）测试评分标准（时间：秒）</w:t>
      </w:r>
    </w:p>
    <w:tbl>
      <w:tblPr>
        <w:tblStyle w:val="6"/>
        <w:tblW w:w="61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〞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 </w:t>
      </w:r>
    </w:p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w:t>   </w:t>
      </w:r>
      <w:r>
        <w:rPr>
          <w:rFonts w:hint="eastAsia" w:ascii="Times New Roman" w:hAnsi="Times New Roman" w:eastAsia="宋体" w:cs="Times New Roman"/>
          <w:kern w:val="0"/>
          <w:sz w:val="27"/>
          <w:szCs w:val="27"/>
        </w:rPr>
        <w:t xml:space="preserve"> </w:t>
      </w:r>
      <w:r>
        <w:rPr>
          <w:rFonts w:ascii="Times New Roman" w:hAnsi="Times New Roman" w:eastAsia="宋体" w:cs="Times New Roman"/>
          <w:kern w:val="0"/>
          <w:sz w:val="27"/>
          <w:szCs w:val="27"/>
        </w:rPr>
        <w:t xml:space="preserve">  </w:t>
      </w:r>
      <w:r>
        <w:rPr>
          <w:rFonts w:hint="eastAsia" w:ascii="宋体" w:hAnsi="宋体" w:eastAsia="宋体" w:cs="宋体"/>
          <w:kern w:val="0"/>
          <w:sz w:val="27"/>
          <w:szCs w:val="27"/>
        </w:rPr>
        <w:t> </w:t>
      </w:r>
    </w:p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2、综合技术评定（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分）</w:t>
      </w:r>
    </w:p>
    <w:tbl>
      <w:tblPr>
        <w:tblStyle w:val="6"/>
        <w:tblW w:w="6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735"/>
        <w:gridCol w:w="1328"/>
        <w:gridCol w:w="756"/>
        <w:gridCol w:w="712"/>
        <w:gridCol w:w="712"/>
        <w:gridCol w:w="712"/>
        <w:gridCol w:w="762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二级指标</w:t>
            </w:r>
          </w:p>
        </w:tc>
        <w:tc>
          <w:tcPr>
            <w:tcW w:w="13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指标内涵</w:t>
            </w:r>
          </w:p>
        </w:tc>
        <w:tc>
          <w:tcPr>
            <w:tcW w:w="365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        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评价等级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权重分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150" w:lineRule="atLeast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150" w:lineRule="atLeast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150" w:lineRule="atLeast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150" w:lineRule="atLeast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150" w:lineRule="atLeast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差</w:t>
            </w: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</w:t>
            </w:r>
          </w:p>
        </w:tc>
        <w:tc>
          <w:tcPr>
            <w:tcW w:w="13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0.95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&lt;0.6</w:t>
            </w: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综合技术评定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整体技术正确规范；动作连贯、熟练；整体技术运用协调，合理；衔接好。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10</w:t>
            </w:r>
          </w:p>
        </w:tc>
      </w:tr>
    </w:tbl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（四）实战能力（40分）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1.测试方法：根据考生人数分成若干组，进行全场或半场比赛。分队时应注意各个位置合理配置，两队比赛15分钟左右，可以根据考生人数情况进行调整。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2.测试要求：考生比赛应注意充分展示自己的篮球意识；通过比赛中的进攻、防守，展示个人的篮球技术、战术水平和能力。</w:t>
      </w:r>
    </w:p>
    <w:p>
      <w:pPr>
        <w:widowControl/>
        <w:shd w:val="clear" w:color="auto" w:fill="FFFFFF"/>
        <w:snapToGrid w:val="0"/>
        <w:spacing w:line="288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3.评分标准</w:t>
      </w:r>
    </w:p>
    <w:tbl>
      <w:tblPr>
        <w:tblStyle w:val="6"/>
        <w:tblW w:w="9060" w:type="dxa"/>
        <w:tblInd w:w="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188"/>
        <w:gridCol w:w="3391"/>
        <w:gridCol w:w="623"/>
        <w:gridCol w:w="511"/>
        <w:gridCol w:w="511"/>
        <w:gridCol w:w="511"/>
        <w:gridCol w:w="681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19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二级指标</w:t>
            </w:r>
          </w:p>
        </w:tc>
        <w:tc>
          <w:tcPr>
            <w:tcW w:w="3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指标内涵</w:t>
            </w:r>
          </w:p>
        </w:tc>
        <w:tc>
          <w:tcPr>
            <w:tcW w:w="28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 xml:space="preserve">       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评价等级</w:t>
            </w:r>
          </w:p>
        </w:tc>
        <w:tc>
          <w:tcPr>
            <w:tcW w:w="8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权重分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19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及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差</w:t>
            </w: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内容</w:t>
            </w:r>
          </w:p>
        </w:tc>
        <w:tc>
          <w:tcPr>
            <w:tcW w:w="3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0.95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0.8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0.7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0.6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&lt;0.6</w:t>
            </w: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</w:trPr>
        <w:tc>
          <w:tcPr>
            <w:tcW w:w="7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 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技术运用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技术动作规范，攻防技术熟练，比赛中能够合理运用各种技术。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战术运用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攻防落位清晰，战术意识强，比赛视野宽，场上配合意识强。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比赛作风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比赛中积极合作，攻防认真，作风顽强，有很好的协作能力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Calibri" w:hAnsi="Calibri" w:eastAsia="微软雅黑" w:cs="宋体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kern w:val="0"/>
                <w:szCs w:val="21"/>
              </w:rPr>
              <w:t>10</w:t>
            </w:r>
          </w:p>
        </w:tc>
      </w:tr>
    </w:tbl>
    <w:p>
      <w:pPr>
        <w:widowControl/>
        <w:shd w:val="clear" w:color="auto" w:fill="FFFFFF"/>
        <w:snapToGrid w:val="0"/>
        <w:spacing w:line="300" w:lineRule="auto"/>
        <w:ind w:firstLine="703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游泳：</w:t>
      </w:r>
    </w:p>
    <w:p>
      <w:pPr>
        <w:widowControl/>
        <w:shd w:val="clear" w:color="auto" w:fill="FFFFFF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专业成绩1：</w:t>
      </w:r>
    </w:p>
    <w:p>
      <w:pPr>
        <w:widowControl/>
        <w:shd w:val="clear" w:color="auto" w:fill="FFFFFF"/>
        <w:snapToGrid w:val="0"/>
        <w:spacing w:line="300" w:lineRule="auto"/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（1）初中教育阶段获游泳国家一级运动员证书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为80分，获游泳国家二级运动员证书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为60分。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（2）初中教育阶段获省级教育行政部门主办（相关文件的第一发文单位）的游泳比赛个人项目第一名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为100分，个人项目第二名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为95分，以后名次每降低一名专业成绩降5分。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（3）初中教育阶段获国家级教育行政部门主办（相关文件的第一发文单位）的游泳比赛个人项目第一至第三名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为100分，个人项目第四至第六名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为95分，个人项目第七至第八名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为90分。</w:t>
      </w:r>
    </w:p>
    <w:p>
      <w:pPr>
        <w:widowControl/>
        <w:shd w:val="clear" w:color="auto" w:fill="FFFFFF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以上类别不重复计分，以最高一项成绩计。</w:t>
      </w:r>
    </w:p>
    <w:p>
      <w:pPr>
        <w:widowControl/>
        <w:shd w:val="clear" w:color="auto" w:fill="FFFFFF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专业成绩2： </w:t>
      </w:r>
    </w:p>
    <w:p>
      <w:pPr>
        <w:widowControl/>
        <w:shd w:val="clear" w:color="auto" w:fill="FFFFFF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评分标准：一级及以上100分，二级90分，三级80分。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shd w:val="clear" w:color="auto" w:fill="FFFFFF"/>
        </w:rPr>
        <w:t xml:space="preserve">   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 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 </w:t>
      </w:r>
      <w:r>
        <w:rPr>
          <w:b/>
          <w:sz w:val="28"/>
          <w:szCs w:val="28"/>
        </w:rPr>
        <w:t>游泳运动员等级标准</w:t>
      </w:r>
      <w:r>
        <w:rPr>
          <w:rFonts w:hint="eastAsia"/>
          <w:b/>
          <w:sz w:val="28"/>
          <w:szCs w:val="28"/>
        </w:rPr>
        <w:t>（50m）</w:t>
      </w:r>
    </w:p>
    <w:tbl>
      <w:tblPr>
        <w:tblStyle w:val="7"/>
        <w:tblW w:w="11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国际级健将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运动</w:t>
            </w:r>
            <w:r>
              <w:rPr>
                <w:kern w:val="2"/>
                <w:sz w:val="21"/>
                <w:szCs w:val="22"/>
              </w:rPr>
              <w:t>健将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一级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二级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kern w:val="2"/>
                <w:sz w:val="21"/>
                <w:szCs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21.95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24.90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23.28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25.85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24.50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31.50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34.50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100m自由泳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48.39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54.35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51.50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56.30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55.50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1:02.50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1:46.90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1:57.80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1:51.50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2:01.20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2:23.00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2:39.00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400m自由泳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3:47.80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4:09.20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3:58.60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4:15.80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4:21.00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4:44.00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5:06.00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5:46.00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6:16.00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7:06.00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800m自由泳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8:00.10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8:33.90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8:24.00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8:53.40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9:02.00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9:42.00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10:32.00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12:02.00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13:12.00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15:02.00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1500m自由泳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15:12.10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16:37.40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16:00.30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17:14.00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17:20.00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18:35.00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20:15.00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23:45.00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24:45.00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27:45.00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50m仰泳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25.24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28.61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27.43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30.55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30.50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35.50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38.50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100m仰泳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53.92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1:00.70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58.45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1:04.30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1:09.00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1:30.00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1:41.00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200m仰泳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1:57.90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2:10.10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2:06.50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2:18.30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2:29.50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2:41.00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3:16.00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3:38.50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50m蛙泳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27.47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31.23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28.75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31.70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32.50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37.00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100m蛙泳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1:00.20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1:07.40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1:03.80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1:10.70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1:29.00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1:34.00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1:44.00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200m蛙泳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2:11.70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2:25.20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2:21.90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2:36.60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2:35.00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3:13.00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3:23.00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50m蝶泳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23.51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26.47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24.89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27.00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30.50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32.50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36.50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41.50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100m蝶泳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51.92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58.11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55.45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1:00.50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1:08.00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1:11.00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1:29.00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1:39.00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200m蝶泳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1:56.60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2:08.80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2:02.70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2:14.20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2:14.00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2:25.00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2:38.00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2:54.50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3:18.00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200m混合泳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1:59.80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2:12.80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2:08.20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2:18.40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2:19.00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2:30.00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2:40.00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2:58.00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3:15.00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3:48.00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400m混合泳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4:18.10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4:41.60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4:31.20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4:56.80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4:58.30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5:18.00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5:31.00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6:21.00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6:56.00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2"/>
                <w:sz w:val="21"/>
                <w:szCs w:val="22"/>
              </w:rPr>
              <w:t>8:06.00</w:t>
            </w:r>
          </w:p>
        </w:tc>
      </w:tr>
    </w:tbl>
    <w:p>
      <w:pPr>
        <w:widowControl/>
        <w:shd w:val="clear" w:color="auto" w:fill="FFFFFF"/>
        <w:spacing w:line="263" w:lineRule="atLeast"/>
        <w:jc w:val="left"/>
        <w:rPr>
          <w:rFonts w:ascii="Calibri" w:hAnsi="Calibri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国际象棋：</w:t>
      </w:r>
    </w:p>
    <w:p>
      <w:pPr>
        <w:widowControl/>
        <w:shd w:val="clear" w:color="auto" w:fill="FFFFFF"/>
        <w:snapToGrid w:val="0"/>
        <w:spacing w:line="300" w:lineRule="auto"/>
        <w:ind w:firstLine="482" w:firstLineChars="15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专业成绩1：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⑴初中教育阶段获国际象棋国家二级运动员及以上证书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为80分；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⑵初中教育阶段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杭州市中小学生阳光体育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国际象棋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初中组个人第一、二名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为80分；第三、四名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为75分，第五、六名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为70分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⑶初中教育阶段获得全国智力运动会国际象棋团体前三名（或个人前六名）或全国国际象棋青少年个人锦标赛前三名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此类最高20分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不重复计分，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以最高一项成绩计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累计计分。</w:t>
      </w:r>
    </w:p>
    <w:p>
      <w:pPr>
        <w:widowControl/>
        <w:shd w:val="clear" w:color="auto" w:fill="FFFFFF"/>
        <w:snapToGrid w:val="0"/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专业成绩2：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实战对弈50分+习题测试50分。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艺术类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】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专业成绩1：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⑴初中教育阶段获省级及以上教育行政部门主办（相关文件的第一发文单位）的艺术现场比赛个人项目（四人及以下）一、二等奖或前三名或杭州市中小学生艺术节独奏、重奏（四人及以下）、协奏（四人及以下）、齐奏（四人及以下）等现场比赛中学组个人项目一等奖计为100分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⑵初中教育阶段获省级及以上教育行政部门主办（相关文件的第一发文单位）的艺术现场比赛个人项目（四人及以下）三等奖或第四至六名或杭州市中小学生艺术节独奏、重奏（四人及以下）、协奏（四人及以下）、齐奏（四人及以下）等现场比赛中学组个人项目二等奖计为80分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⑶初三阶段获杭州市中学生艺术团优秀团员计为60分。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以上类别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不重复计分，以最高一项成绩计。</w:t>
      </w:r>
    </w:p>
    <w:p>
      <w:pPr>
        <w:widowControl/>
        <w:shd w:val="clear" w:color="auto" w:fill="FFFFFF"/>
        <w:snapToGrid w:val="0"/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专业成绩2：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自选乐曲一首70分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视奏乐队分谱片段20分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听音模唱10分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napToGrid w:val="0"/>
        <w:spacing w:line="300" w:lineRule="auto"/>
        <w:ind w:firstLine="5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（四）特长专业水平测试成绩(满分600分)计算：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体育类（除国际象棋）：（专业成绩1×30%+专业成绩2×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0%）×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艺术类、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国际象棋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（专业成绩1+专业成绩2）×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（五）体育专业成绩2和艺术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专业成绩2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由学校组织测试，测试项目与报名认定项目一致。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我校各类考生特长专业水平测试合格成绩为350分，特长专业水平测试成绩经市教育局审核后，合格考生的成绩6月2日起在杭州教育网（www.hzedu.gov.cn）和学校网站（www.hz4z.cn）公示。特长专业水平测试成绩合格考生即视作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自主招生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我校特长生志愿的填报。</w:t>
      </w:r>
    </w:p>
    <w:p>
      <w:pPr>
        <w:widowControl/>
        <w:shd w:val="clear" w:color="auto" w:fill="FFFFFF"/>
        <w:snapToGrid w:val="0"/>
        <w:spacing w:line="300" w:lineRule="auto"/>
        <w:ind w:firstLine="562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六、录取规则</w:t>
      </w:r>
    </w:p>
    <w:p>
      <w:pPr>
        <w:widowControl/>
        <w:shd w:val="clear" w:color="auto" w:fill="FFFFFF"/>
        <w:snapToGrid w:val="0"/>
        <w:spacing w:line="300" w:lineRule="auto"/>
        <w:ind w:firstLine="56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综合成绩=初中学业水平考试（不含加分）×30%＋特长专业水平测试成绩×70%</w:t>
      </w:r>
    </w:p>
    <w:p>
      <w:pPr>
        <w:widowControl/>
        <w:shd w:val="clear" w:color="auto" w:fill="FFFFFF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学业水平考试后，我校根据特长生招生工作实施办法中规定的录取规则，依据招生计划、考生志愿和综合成绩，按类别分项目择优录取。若综合成绩相同时，则以特长专业水平测试成绩高者优先。若特长专业水平测试成绩相同时，以专业成绩2高者优先。若专业成绩2相同时，以数学、科学、英语、语文的顺序，单科成绩得分高者优先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若符合条件的报考学生数未达到招生计划，将减少该项目的招生计划，减少的招生计划纳入我校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集中统一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第一批招生计划。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被录取考生，不再参加其他批次的录取。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 .发现有弄虚作假和舞弊行为一经查实则取消其录取资格。</w:t>
      </w:r>
    </w:p>
    <w:p>
      <w:pPr>
        <w:widowControl/>
        <w:shd w:val="clear" w:color="auto" w:fill="FFFFFF"/>
        <w:snapToGrid w:val="0"/>
        <w:spacing w:line="300" w:lineRule="auto"/>
        <w:ind w:firstLine="56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本办法由杭四中吴山校区特长生招生办公室负责解释。</w:t>
      </w:r>
    </w:p>
    <w:p>
      <w:pPr>
        <w:widowControl/>
        <w:shd w:val="clear" w:color="auto" w:fill="FFFFFF"/>
        <w:snapToGrid w:val="0"/>
        <w:spacing w:line="300" w:lineRule="auto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  咨询电话：87032790、89730198</w:t>
      </w:r>
    </w:p>
    <w:p>
      <w:pPr>
        <w:widowControl/>
        <w:shd w:val="clear" w:color="auto" w:fill="FFFFFF"/>
        <w:wordWrap w:val="0"/>
        <w:snapToGrid w:val="0"/>
        <w:spacing w:line="300" w:lineRule="auto"/>
        <w:ind w:firstLine="56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napToGrid w:val="0"/>
        <w:spacing w:line="300" w:lineRule="auto"/>
        <w:ind w:firstLine="56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杭州第四中学吴山校区 </w:t>
      </w:r>
    </w:p>
    <w:p>
      <w:pPr>
        <w:widowControl/>
        <w:shd w:val="clear" w:color="auto" w:fill="FFFFFF"/>
        <w:wordWrap w:val="0"/>
        <w:snapToGrid w:val="0"/>
        <w:spacing w:line="300" w:lineRule="auto"/>
        <w:ind w:firstLine="56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3AE80"/>
    <w:multiLevelType w:val="singleLevel"/>
    <w:tmpl w:val="1F63AE8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YzNTI0OWRiMDIyM2FhODE5MmEzZjFkMzY2YTUzODcifQ=="/>
  </w:docVars>
  <w:rsids>
    <w:rsidRoot w:val="00876C8E"/>
    <w:rsid w:val="000760E7"/>
    <w:rsid w:val="000B527C"/>
    <w:rsid w:val="000C31C0"/>
    <w:rsid w:val="00130CE3"/>
    <w:rsid w:val="001A288F"/>
    <w:rsid w:val="001D521E"/>
    <w:rsid w:val="001F303A"/>
    <w:rsid w:val="00284841"/>
    <w:rsid w:val="002B35E1"/>
    <w:rsid w:val="002B7898"/>
    <w:rsid w:val="002E29FA"/>
    <w:rsid w:val="003559A1"/>
    <w:rsid w:val="003D08B2"/>
    <w:rsid w:val="004D2C40"/>
    <w:rsid w:val="005043AC"/>
    <w:rsid w:val="00510C9C"/>
    <w:rsid w:val="005C0E82"/>
    <w:rsid w:val="005E63C3"/>
    <w:rsid w:val="00793148"/>
    <w:rsid w:val="00876C8E"/>
    <w:rsid w:val="0091452E"/>
    <w:rsid w:val="009302B5"/>
    <w:rsid w:val="00A03E03"/>
    <w:rsid w:val="00A43CA1"/>
    <w:rsid w:val="00A5352C"/>
    <w:rsid w:val="00A60DC4"/>
    <w:rsid w:val="00A67464"/>
    <w:rsid w:val="00AA3A2B"/>
    <w:rsid w:val="00AA595B"/>
    <w:rsid w:val="00AA7D1C"/>
    <w:rsid w:val="00AB1515"/>
    <w:rsid w:val="00B0095D"/>
    <w:rsid w:val="00B776A4"/>
    <w:rsid w:val="00BB6B07"/>
    <w:rsid w:val="00C0233D"/>
    <w:rsid w:val="00C07EFA"/>
    <w:rsid w:val="00C55B56"/>
    <w:rsid w:val="00CE6E5B"/>
    <w:rsid w:val="00CF542D"/>
    <w:rsid w:val="00D0470F"/>
    <w:rsid w:val="00D45E34"/>
    <w:rsid w:val="00D65252"/>
    <w:rsid w:val="00E16F1B"/>
    <w:rsid w:val="00E932D7"/>
    <w:rsid w:val="00EC05EB"/>
    <w:rsid w:val="00F05A4F"/>
    <w:rsid w:val="02FB5AD1"/>
    <w:rsid w:val="032B494B"/>
    <w:rsid w:val="036C29D0"/>
    <w:rsid w:val="06415701"/>
    <w:rsid w:val="09B72798"/>
    <w:rsid w:val="0B0F486E"/>
    <w:rsid w:val="0B265189"/>
    <w:rsid w:val="0CD143AE"/>
    <w:rsid w:val="0EA453F8"/>
    <w:rsid w:val="0F947F02"/>
    <w:rsid w:val="100833B7"/>
    <w:rsid w:val="10D30D3E"/>
    <w:rsid w:val="11FB2FCF"/>
    <w:rsid w:val="121A3453"/>
    <w:rsid w:val="127356E5"/>
    <w:rsid w:val="18E81933"/>
    <w:rsid w:val="19EA4CBB"/>
    <w:rsid w:val="1ABB610E"/>
    <w:rsid w:val="1AD4504A"/>
    <w:rsid w:val="1C9E1C8B"/>
    <w:rsid w:val="1D0E6317"/>
    <w:rsid w:val="1D3A3C45"/>
    <w:rsid w:val="1D3D6FBD"/>
    <w:rsid w:val="1E8E13A3"/>
    <w:rsid w:val="204859CE"/>
    <w:rsid w:val="20DC3539"/>
    <w:rsid w:val="224849D2"/>
    <w:rsid w:val="27022DEC"/>
    <w:rsid w:val="27A80C6A"/>
    <w:rsid w:val="291E58B5"/>
    <w:rsid w:val="2CBC3AFA"/>
    <w:rsid w:val="2FFA6935"/>
    <w:rsid w:val="307C43DE"/>
    <w:rsid w:val="31275B78"/>
    <w:rsid w:val="32C80F58"/>
    <w:rsid w:val="3386333A"/>
    <w:rsid w:val="3762050B"/>
    <w:rsid w:val="3A011BEE"/>
    <w:rsid w:val="3A81043C"/>
    <w:rsid w:val="3B1E7AD5"/>
    <w:rsid w:val="3BBB38F0"/>
    <w:rsid w:val="3E01731A"/>
    <w:rsid w:val="3E802BEC"/>
    <w:rsid w:val="3EA210D0"/>
    <w:rsid w:val="3EF1061C"/>
    <w:rsid w:val="3F4A5777"/>
    <w:rsid w:val="40695FDE"/>
    <w:rsid w:val="40BD62DD"/>
    <w:rsid w:val="41F67433"/>
    <w:rsid w:val="42FC4F5A"/>
    <w:rsid w:val="440E1ACB"/>
    <w:rsid w:val="45097749"/>
    <w:rsid w:val="47A448FD"/>
    <w:rsid w:val="47FB224B"/>
    <w:rsid w:val="488B3312"/>
    <w:rsid w:val="48990868"/>
    <w:rsid w:val="48D46BC2"/>
    <w:rsid w:val="491F2710"/>
    <w:rsid w:val="4CB77FEC"/>
    <w:rsid w:val="4D3965B2"/>
    <w:rsid w:val="4E462A89"/>
    <w:rsid w:val="508F26D7"/>
    <w:rsid w:val="50BB11D2"/>
    <w:rsid w:val="522E0C66"/>
    <w:rsid w:val="528C2036"/>
    <w:rsid w:val="544B342D"/>
    <w:rsid w:val="550566C0"/>
    <w:rsid w:val="56EE2F5F"/>
    <w:rsid w:val="590E2116"/>
    <w:rsid w:val="594505B5"/>
    <w:rsid w:val="5B121621"/>
    <w:rsid w:val="5B976EFF"/>
    <w:rsid w:val="5BD1219E"/>
    <w:rsid w:val="5BDD7F71"/>
    <w:rsid w:val="5C2E04A2"/>
    <w:rsid w:val="5C6A4D61"/>
    <w:rsid w:val="5E387B64"/>
    <w:rsid w:val="5ED33194"/>
    <w:rsid w:val="60A97448"/>
    <w:rsid w:val="617129B1"/>
    <w:rsid w:val="617A15EB"/>
    <w:rsid w:val="619B5E23"/>
    <w:rsid w:val="64ED0D22"/>
    <w:rsid w:val="65E21236"/>
    <w:rsid w:val="6780154D"/>
    <w:rsid w:val="6A2C7123"/>
    <w:rsid w:val="6AD702F0"/>
    <w:rsid w:val="6C3D6D62"/>
    <w:rsid w:val="6C755A6B"/>
    <w:rsid w:val="6C9165CA"/>
    <w:rsid w:val="70976F98"/>
    <w:rsid w:val="71B20DD6"/>
    <w:rsid w:val="728F3C82"/>
    <w:rsid w:val="75A85791"/>
    <w:rsid w:val="77294A63"/>
    <w:rsid w:val="778D2E39"/>
    <w:rsid w:val="77DD0AAA"/>
    <w:rsid w:val="78DB0327"/>
    <w:rsid w:val="798D50A4"/>
    <w:rsid w:val="7A1631A8"/>
    <w:rsid w:val="7BD135A7"/>
    <w:rsid w:val="7F581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all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toptu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ogin"/>
    <w:basedOn w:val="1"/>
    <w:qFormat/>
    <w:uiPriority w:val="0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color w:val="FFAE76"/>
      <w:kern w:val="0"/>
      <w:szCs w:val="21"/>
    </w:rPr>
  </w:style>
  <w:style w:type="paragraph" w:customStyle="1" w:styleId="12">
    <w:name w:val="topflas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标题1"/>
    <w:basedOn w:val="1"/>
    <w:qFormat/>
    <w:uiPriority w:val="0"/>
    <w:pPr>
      <w:widowControl/>
      <w:spacing w:before="100" w:beforeAutospacing="1" w:after="100" w:afterAutospacing="1" w:line="61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titz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color w:val="FFFFFF"/>
      <w:kern w:val="0"/>
      <w:sz w:val="23"/>
      <w:szCs w:val="23"/>
    </w:rPr>
  </w:style>
  <w:style w:type="paragraph" w:customStyle="1" w:styleId="15">
    <w:name w:val="titz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color w:val="FFFFFF"/>
      <w:kern w:val="0"/>
      <w:sz w:val="23"/>
      <w:szCs w:val="23"/>
    </w:rPr>
  </w:style>
  <w:style w:type="paragraph" w:customStyle="1" w:styleId="16">
    <w:name w:val="titsh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tqss"/>
    <w:basedOn w:val="1"/>
    <w:qFormat/>
    <w:uiPriority w:val="0"/>
    <w:pPr>
      <w:widowControl/>
      <w:pBdr>
        <w:left w:val="single" w:color="C9C9C9" w:sz="6" w:space="0"/>
        <w:right w:val="single" w:color="C9C9C9" w:sz="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qssbj"/>
    <w:basedOn w:val="1"/>
    <w:qFormat/>
    <w:uiPriority w:val="0"/>
    <w:pPr>
      <w:widowControl/>
      <w:spacing w:before="75" w:after="100" w:afterAutospacing="1"/>
      <w:ind w:lef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rli"/>
    <w:basedOn w:val="1"/>
    <w:qFormat/>
    <w:uiPriority w:val="0"/>
    <w:pPr>
      <w:widowControl/>
      <w:spacing w:before="120" w:after="100" w:afterAutospacing="1"/>
      <w:ind w:left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di"/>
    <w:basedOn w:val="1"/>
    <w:qFormat/>
    <w:uiPriority w:val="0"/>
    <w:pPr>
      <w:widowControl/>
      <w:pBdr>
        <w:left w:val="single" w:color="C9C9C9" w:sz="6" w:space="0"/>
        <w:bottom w:val="single" w:color="C9C9C9" w:sz="6" w:space="0"/>
        <w:right w:val="single" w:color="C9C9C9" w:sz="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diz"/>
    <w:basedOn w:val="1"/>
    <w:qFormat/>
    <w:uiPriority w:val="0"/>
    <w:pPr>
      <w:widowControl/>
      <w:spacing w:before="100" w:beforeAutospacing="1" w:after="100" w:afterAutospacing="1" w:line="375" w:lineRule="atLeast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5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4841</Words>
  <Characters>6569</Characters>
  <Lines>50</Lines>
  <Paragraphs>14</Paragraphs>
  <TotalTime>2</TotalTime>
  <ScaleCrop>false</ScaleCrop>
  <LinksUpToDate>false</LinksUpToDate>
  <CharactersWithSpaces>6795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2019-04-23T00:52:00Z</dcterms:created>
  <dc:creator>HSZ</dc:creator>
  <cp:lastModifiedBy>邓宪宏</cp:lastModifiedBy>
  <cp:lastPrinted>2020-05-08T07:53:00Z</cp:lastPrinted>
  <dcterms:modified xsi:type="dcterms:W3CDTF">2022-05-06T08:30:48Z</dcterms:modified>
  <dc:title>杭州第四中学吴山校区2022年招收体育类和艺术类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07411D42198944ADB2FD80A165BDC360</vt:lpwstr>
  </property>
  <property fmtid="{D5CDD505-2E9C-101B-9397-08002B2CF9AE}" pid="4" name="commondata">
    <vt:lpwstr>eyJoZGlkIjoiNjA2MzE3Mjk3NGZhOWY3ZjBkNGUxMzU4ZmI3YzYzNTgifQ==</vt:lpwstr>
  </property>
</Properties>
</file>