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D6" w:rsidRDefault="00F605D6" w:rsidP="00F605D6">
      <w:pPr>
        <w:adjustRightInd w:val="0"/>
        <w:snapToGrid w:val="0"/>
        <w:spacing w:line="360" w:lineRule="auto"/>
        <w:ind w:right="-149"/>
        <w:rPr>
          <w:rFonts w:ascii="黑体" w:eastAsia="黑体" w:hAnsi="黑体" w:cs="黑体" w:hint="eastAsia"/>
          <w:bCs/>
          <w:sz w:val="32"/>
          <w:szCs w:val="32"/>
        </w:rPr>
      </w:pPr>
      <w:r>
        <w:rPr>
          <w:rFonts w:ascii="黑体" w:eastAsia="黑体" w:hAnsi="黑体" w:cs="黑体" w:hint="eastAsia"/>
          <w:bCs/>
          <w:sz w:val="32"/>
          <w:szCs w:val="32"/>
        </w:rPr>
        <w:t>附件1</w:t>
      </w:r>
    </w:p>
    <w:p w:rsidR="00F605D6" w:rsidRDefault="00F605D6" w:rsidP="00F605D6">
      <w:pPr>
        <w:adjustRightInd w:val="0"/>
        <w:snapToGrid w:val="0"/>
        <w:spacing w:line="360" w:lineRule="auto"/>
        <w:ind w:right="-149"/>
        <w:jc w:val="center"/>
        <w:rPr>
          <w:rFonts w:ascii="小标宋" w:eastAsia="小标宋" w:hAnsi="小标宋" w:cs="小标宋" w:hint="eastAsia"/>
          <w:bCs/>
          <w:color w:val="000000"/>
          <w:kern w:val="0"/>
          <w:sz w:val="34"/>
          <w:szCs w:val="34"/>
        </w:rPr>
      </w:pPr>
      <w:r>
        <w:rPr>
          <w:rFonts w:ascii="小标宋" w:eastAsia="小标宋" w:hAnsi="小标宋" w:cs="小标宋" w:hint="eastAsia"/>
          <w:bCs/>
          <w:sz w:val="34"/>
          <w:szCs w:val="34"/>
        </w:rPr>
        <w:t>杭州市首批直属学校新任教师学科（专业）培训基地一览表</w:t>
      </w:r>
    </w:p>
    <w:tbl>
      <w:tblPr>
        <w:tblW w:w="89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3045"/>
        <w:gridCol w:w="3120"/>
        <w:gridCol w:w="1215"/>
        <w:gridCol w:w="1065"/>
      </w:tblGrid>
      <w:tr w:rsidR="00F605D6" w:rsidTr="007037E9">
        <w:trPr>
          <w:trHeight w:hRule="exact" w:val="729"/>
          <w:tblHeader/>
          <w:jc w:val="center"/>
        </w:trPr>
        <w:tc>
          <w:tcPr>
            <w:tcW w:w="540" w:type="dxa"/>
            <w:tcBorders>
              <w:bottom w:val="double" w:sz="4" w:space="0" w:color="auto"/>
              <w:tl2br w:val="nil"/>
              <w:tr2bl w:val="nil"/>
            </w:tcBorders>
            <w:vAlign w:val="center"/>
          </w:tcPr>
          <w:p w:rsidR="00F605D6" w:rsidRDefault="00F605D6" w:rsidP="007037E9">
            <w:pPr>
              <w:widowControl/>
              <w:jc w:val="center"/>
              <w:rPr>
                <w:rFonts w:ascii="黑体" w:eastAsia="黑体" w:hAnsi="黑体" w:cs="黑体" w:hint="eastAsia"/>
                <w:color w:val="000000"/>
                <w:kern w:val="0"/>
                <w:sz w:val="24"/>
              </w:rPr>
            </w:pPr>
            <w:r>
              <w:rPr>
                <w:rFonts w:ascii="黑体" w:eastAsia="黑体" w:hAnsi="黑体" w:cs="黑体" w:hint="eastAsia"/>
                <w:color w:val="000000"/>
                <w:kern w:val="0"/>
                <w:sz w:val="24"/>
              </w:rPr>
              <w:t>序号</w:t>
            </w:r>
          </w:p>
        </w:tc>
        <w:tc>
          <w:tcPr>
            <w:tcW w:w="3045" w:type="dxa"/>
            <w:tcBorders>
              <w:bottom w:val="double" w:sz="4" w:space="0" w:color="auto"/>
              <w:tl2br w:val="nil"/>
              <w:tr2bl w:val="nil"/>
            </w:tcBorders>
            <w:vAlign w:val="center"/>
          </w:tcPr>
          <w:p w:rsidR="00F605D6" w:rsidRDefault="00F605D6" w:rsidP="007037E9">
            <w:pPr>
              <w:widowControl/>
              <w:jc w:val="center"/>
              <w:rPr>
                <w:rFonts w:ascii="黑体" w:eastAsia="黑体" w:hAnsi="黑体" w:cs="黑体" w:hint="eastAsia"/>
                <w:color w:val="000000"/>
                <w:kern w:val="0"/>
                <w:sz w:val="24"/>
              </w:rPr>
            </w:pPr>
            <w:r>
              <w:rPr>
                <w:rFonts w:ascii="黑体" w:eastAsia="黑体" w:hAnsi="黑体" w:cs="黑体" w:hint="eastAsia"/>
                <w:color w:val="000000"/>
                <w:kern w:val="0"/>
                <w:sz w:val="24"/>
              </w:rPr>
              <w:t>学校</w:t>
            </w:r>
          </w:p>
        </w:tc>
        <w:tc>
          <w:tcPr>
            <w:tcW w:w="3120" w:type="dxa"/>
            <w:tcBorders>
              <w:bottom w:val="double" w:sz="4" w:space="0" w:color="auto"/>
              <w:tl2br w:val="nil"/>
              <w:tr2bl w:val="nil"/>
            </w:tcBorders>
            <w:vAlign w:val="center"/>
          </w:tcPr>
          <w:p w:rsidR="00F605D6" w:rsidRDefault="00F605D6" w:rsidP="007037E9">
            <w:pPr>
              <w:widowControl/>
              <w:jc w:val="center"/>
              <w:rPr>
                <w:rFonts w:ascii="黑体" w:eastAsia="黑体" w:hAnsi="黑体" w:cs="黑体" w:hint="eastAsia"/>
                <w:color w:val="000000"/>
                <w:kern w:val="0"/>
                <w:sz w:val="24"/>
              </w:rPr>
            </w:pPr>
            <w:r>
              <w:rPr>
                <w:rFonts w:ascii="黑体" w:eastAsia="黑体" w:hAnsi="黑体" w:cs="黑体" w:hint="eastAsia"/>
                <w:color w:val="000000"/>
                <w:kern w:val="0"/>
                <w:sz w:val="24"/>
              </w:rPr>
              <w:t>基地</w:t>
            </w:r>
          </w:p>
        </w:tc>
        <w:tc>
          <w:tcPr>
            <w:tcW w:w="1215" w:type="dxa"/>
            <w:tcBorders>
              <w:bottom w:val="double" w:sz="4" w:space="0" w:color="auto"/>
              <w:tl2br w:val="nil"/>
              <w:tr2bl w:val="nil"/>
            </w:tcBorders>
            <w:noWrap/>
            <w:vAlign w:val="center"/>
          </w:tcPr>
          <w:p w:rsidR="00F605D6" w:rsidRDefault="00F605D6" w:rsidP="007037E9">
            <w:pPr>
              <w:widowControl/>
              <w:jc w:val="center"/>
              <w:rPr>
                <w:rFonts w:ascii="黑体" w:eastAsia="黑体" w:hAnsi="黑体" w:cs="黑体" w:hint="eastAsia"/>
                <w:color w:val="000000"/>
                <w:kern w:val="0"/>
                <w:sz w:val="24"/>
              </w:rPr>
            </w:pPr>
            <w:r>
              <w:rPr>
                <w:rFonts w:ascii="黑体" w:eastAsia="黑体" w:hAnsi="黑体" w:cs="黑体" w:hint="eastAsia"/>
                <w:color w:val="000000"/>
                <w:kern w:val="0"/>
                <w:sz w:val="24"/>
              </w:rPr>
              <w:t>负责人</w:t>
            </w:r>
          </w:p>
        </w:tc>
        <w:tc>
          <w:tcPr>
            <w:tcW w:w="1065" w:type="dxa"/>
            <w:tcBorders>
              <w:bottom w:val="double" w:sz="4" w:space="0" w:color="auto"/>
              <w:tl2br w:val="nil"/>
              <w:tr2bl w:val="nil"/>
            </w:tcBorders>
            <w:vAlign w:val="center"/>
          </w:tcPr>
          <w:p w:rsidR="00F605D6" w:rsidRDefault="00F605D6" w:rsidP="007037E9">
            <w:pPr>
              <w:widowControl/>
              <w:jc w:val="center"/>
              <w:rPr>
                <w:rFonts w:ascii="黑体" w:eastAsia="黑体" w:hAnsi="黑体" w:cs="黑体" w:hint="eastAsia"/>
                <w:color w:val="000000"/>
                <w:kern w:val="0"/>
                <w:sz w:val="24"/>
              </w:rPr>
            </w:pPr>
            <w:r>
              <w:rPr>
                <w:rFonts w:ascii="黑体" w:eastAsia="黑体" w:hAnsi="黑体" w:cs="黑体" w:hint="eastAsia"/>
                <w:color w:val="000000"/>
                <w:kern w:val="0"/>
                <w:sz w:val="24"/>
              </w:rPr>
              <w:t>联系人</w:t>
            </w:r>
          </w:p>
        </w:tc>
      </w:tr>
      <w:tr w:rsidR="00F605D6" w:rsidTr="007037E9">
        <w:trPr>
          <w:trHeight w:hRule="exact" w:val="574"/>
          <w:jc w:val="center"/>
        </w:trPr>
        <w:tc>
          <w:tcPr>
            <w:tcW w:w="540" w:type="dxa"/>
            <w:vMerge w:val="restart"/>
            <w:tcBorders>
              <w:top w:val="double" w:sz="4" w:space="0" w:color="auto"/>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1</w:t>
            </w:r>
          </w:p>
        </w:tc>
        <w:tc>
          <w:tcPr>
            <w:tcW w:w="3045" w:type="dxa"/>
            <w:vMerge w:val="restart"/>
            <w:tcBorders>
              <w:top w:val="double" w:sz="4" w:space="0" w:color="auto"/>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杭州高级中学</w:t>
            </w:r>
          </w:p>
        </w:tc>
        <w:tc>
          <w:tcPr>
            <w:tcW w:w="3120" w:type="dxa"/>
            <w:tcBorders>
              <w:top w:val="double" w:sz="4" w:space="0" w:color="auto"/>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高中语文学科培训基地</w:t>
            </w:r>
          </w:p>
        </w:tc>
        <w:tc>
          <w:tcPr>
            <w:tcW w:w="1215" w:type="dxa"/>
            <w:tcBorders>
              <w:top w:val="double" w:sz="4" w:space="0" w:color="auto"/>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毕本弓</w:t>
            </w:r>
          </w:p>
        </w:tc>
        <w:tc>
          <w:tcPr>
            <w:tcW w:w="1065" w:type="dxa"/>
            <w:tcBorders>
              <w:top w:val="double" w:sz="4" w:space="0" w:color="auto"/>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周  伟</w:t>
            </w:r>
          </w:p>
        </w:tc>
      </w:tr>
      <w:tr w:rsidR="00F605D6" w:rsidTr="007037E9">
        <w:trPr>
          <w:trHeight w:hRule="exact" w:val="541"/>
          <w:jc w:val="center"/>
        </w:trPr>
        <w:tc>
          <w:tcPr>
            <w:tcW w:w="540" w:type="dxa"/>
            <w:vMerge/>
            <w:tcBorders>
              <w:tl2br w:val="nil"/>
              <w:tr2bl w:val="nil"/>
            </w:tcBorders>
            <w:vAlign w:val="center"/>
          </w:tcPr>
          <w:p w:rsidR="00F605D6" w:rsidRDefault="00F605D6" w:rsidP="007037E9">
            <w:pPr>
              <w:widowControl/>
              <w:jc w:val="center"/>
              <w:rPr>
                <w:rFonts w:eastAsia="仿宋"/>
                <w:color w:val="000000"/>
                <w:kern w:val="0"/>
                <w:sz w:val="24"/>
              </w:rPr>
            </w:pPr>
          </w:p>
        </w:tc>
        <w:tc>
          <w:tcPr>
            <w:tcW w:w="3045" w:type="dxa"/>
            <w:vMerge/>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高中化学学科培训基地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高树浪</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陈</w:t>
            </w:r>
            <w:r>
              <w:rPr>
                <w:rFonts w:ascii="仿宋" w:eastAsia="仿宋" w:hAnsi="仿宋" w:cs="宋体" w:hint="eastAsia"/>
                <w:color w:val="000000"/>
                <w:kern w:val="0"/>
                <w:sz w:val="24"/>
              </w:rPr>
              <w:t xml:space="preserve">  </w:t>
            </w:r>
            <w:r>
              <w:rPr>
                <w:rFonts w:ascii="仿宋" w:eastAsia="仿宋" w:hAnsi="仿宋" w:cs="宋体"/>
                <w:color w:val="000000"/>
                <w:kern w:val="0"/>
                <w:sz w:val="24"/>
              </w:rPr>
              <w:t>英</w:t>
            </w:r>
          </w:p>
        </w:tc>
      </w:tr>
      <w:tr w:rsidR="00F605D6" w:rsidTr="007037E9">
        <w:trPr>
          <w:trHeight w:hRule="exact" w:val="509"/>
          <w:jc w:val="center"/>
        </w:trPr>
        <w:tc>
          <w:tcPr>
            <w:tcW w:w="540" w:type="dxa"/>
            <w:vMerge w:val="restart"/>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2</w:t>
            </w:r>
          </w:p>
        </w:tc>
        <w:tc>
          <w:tcPr>
            <w:tcW w:w="3045" w:type="dxa"/>
            <w:vMerge w:val="restart"/>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杭州第二中学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高中数学学科培训基地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蔡小雄</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陈海玲</w:t>
            </w:r>
          </w:p>
        </w:tc>
      </w:tr>
      <w:tr w:rsidR="00F605D6" w:rsidTr="007037E9">
        <w:trPr>
          <w:trHeight w:hRule="exact" w:val="479"/>
          <w:jc w:val="center"/>
        </w:trPr>
        <w:tc>
          <w:tcPr>
            <w:tcW w:w="540" w:type="dxa"/>
            <w:vMerge/>
            <w:tcBorders>
              <w:tl2br w:val="nil"/>
              <w:tr2bl w:val="nil"/>
            </w:tcBorders>
            <w:vAlign w:val="center"/>
          </w:tcPr>
          <w:p w:rsidR="00F605D6" w:rsidRDefault="00F605D6" w:rsidP="007037E9">
            <w:pPr>
              <w:widowControl/>
              <w:jc w:val="center"/>
              <w:rPr>
                <w:rFonts w:eastAsia="仿宋"/>
                <w:color w:val="000000"/>
                <w:kern w:val="0"/>
                <w:sz w:val="24"/>
              </w:rPr>
            </w:pPr>
          </w:p>
        </w:tc>
        <w:tc>
          <w:tcPr>
            <w:tcW w:w="3045" w:type="dxa"/>
            <w:vMerge/>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高中体育学科培训基地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赵百东</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肖  伟</w:t>
            </w:r>
          </w:p>
        </w:tc>
      </w:tr>
      <w:tr w:rsidR="00F605D6" w:rsidTr="007037E9">
        <w:trPr>
          <w:trHeight w:hRule="exact" w:val="539"/>
          <w:jc w:val="center"/>
        </w:trPr>
        <w:tc>
          <w:tcPr>
            <w:tcW w:w="540" w:type="dxa"/>
            <w:vMerge w:val="restart"/>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3</w:t>
            </w:r>
          </w:p>
        </w:tc>
        <w:tc>
          <w:tcPr>
            <w:tcW w:w="3045" w:type="dxa"/>
            <w:vMerge w:val="restart"/>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杭州第四中学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高中地理学科培训基地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耿文强</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牛贵波</w:t>
            </w:r>
          </w:p>
        </w:tc>
      </w:tr>
      <w:tr w:rsidR="00F605D6" w:rsidTr="007037E9">
        <w:trPr>
          <w:trHeight w:hRule="exact" w:val="494"/>
          <w:jc w:val="center"/>
        </w:trPr>
        <w:tc>
          <w:tcPr>
            <w:tcW w:w="540" w:type="dxa"/>
            <w:vMerge/>
            <w:tcBorders>
              <w:tl2br w:val="nil"/>
              <w:tr2bl w:val="nil"/>
            </w:tcBorders>
            <w:vAlign w:val="center"/>
          </w:tcPr>
          <w:p w:rsidR="00F605D6" w:rsidRDefault="00F605D6" w:rsidP="007037E9">
            <w:pPr>
              <w:widowControl/>
              <w:jc w:val="center"/>
              <w:rPr>
                <w:rFonts w:eastAsia="仿宋"/>
                <w:color w:val="000000"/>
                <w:kern w:val="0"/>
                <w:sz w:val="24"/>
              </w:rPr>
            </w:pPr>
          </w:p>
        </w:tc>
        <w:tc>
          <w:tcPr>
            <w:tcW w:w="3045" w:type="dxa"/>
            <w:vMerge/>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高中音乐学科培训基地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戴树林</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沈舒云</w:t>
            </w:r>
          </w:p>
        </w:tc>
      </w:tr>
      <w:tr w:rsidR="00F605D6" w:rsidTr="007037E9">
        <w:trPr>
          <w:trHeight w:hRule="exact" w:val="569"/>
          <w:jc w:val="center"/>
        </w:trPr>
        <w:tc>
          <w:tcPr>
            <w:tcW w:w="540" w:type="dxa"/>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4</w:t>
            </w:r>
          </w:p>
        </w:tc>
        <w:tc>
          <w:tcPr>
            <w:tcW w:w="304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杭州第七中学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高中美术学科培训基地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吴江东</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孔祥卫</w:t>
            </w:r>
          </w:p>
        </w:tc>
      </w:tr>
      <w:tr w:rsidR="00F605D6" w:rsidTr="007037E9">
        <w:trPr>
          <w:trHeight w:hRule="exact" w:val="569"/>
          <w:jc w:val="center"/>
        </w:trPr>
        <w:tc>
          <w:tcPr>
            <w:tcW w:w="540" w:type="dxa"/>
            <w:vMerge w:val="restart"/>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5</w:t>
            </w:r>
          </w:p>
        </w:tc>
        <w:tc>
          <w:tcPr>
            <w:tcW w:w="3045" w:type="dxa"/>
            <w:vMerge w:val="restart"/>
            <w:tcBorders>
              <w:tl2br w:val="nil"/>
              <w:tr2bl w:val="nil"/>
            </w:tcBorders>
            <w:vAlign w:val="center"/>
          </w:tcPr>
          <w:p w:rsidR="00F605D6" w:rsidRDefault="00F605D6" w:rsidP="007037E9">
            <w:pPr>
              <w:widowControl/>
              <w:ind w:rightChars="82" w:right="172"/>
              <w:jc w:val="center"/>
              <w:rPr>
                <w:rFonts w:ascii="仿宋" w:eastAsia="仿宋" w:hAnsi="仿宋" w:cs="宋体"/>
                <w:color w:val="000000"/>
                <w:kern w:val="0"/>
                <w:sz w:val="24"/>
              </w:rPr>
            </w:pPr>
            <w:r>
              <w:rPr>
                <w:rFonts w:ascii="仿宋" w:eastAsia="仿宋" w:hAnsi="仿宋" w:cs="宋体" w:hint="eastAsia"/>
                <w:color w:val="000000"/>
                <w:kern w:val="0"/>
                <w:sz w:val="24"/>
              </w:rPr>
              <w:t>杭州师范大学附属中学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高中通用技术学科培训基地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何威年</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海  棠</w:t>
            </w:r>
          </w:p>
        </w:tc>
      </w:tr>
      <w:tr w:rsidR="00F605D6" w:rsidTr="007037E9">
        <w:trPr>
          <w:trHeight w:hRule="exact" w:val="579"/>
          <w:jc w:val="center"/>
        </w:trPr>
        <w:tc>
          <w:tcPr>
            <w:tcW w:w="540" w:type="dxa"/>
            <w:vMerge/>
            <w:tcBorders>
              <w:tl2br w:val="nil"/>
              <w:tr2bl w:val="nil"/>
            </w:tcBorders>
            <w:vAlign w:val="center"/>
          </w:tcPr>
          <w:p w:rsidR="00F605D6" w:rsidRDefault="00F605D6" w:rsidP="007037E9">
            <w:pPr>
              <w:widowControl/>
              <w:jc w:val="center"/>
              <w:rPr>
                <w:rFonts w:eastAsia="仿宋"/>
                <w:color w:val="000000"/>
                <w:kern w:val="0"/>
                <w:sz w:val="24"/>
              </w:rPr>
            </w:pPr>
          </w:p>
        </w:tc>
        <w:tc>
          <w:tcPr>
            <w:tcW w:w="3045" w:type="dxa"/>
            <w:vMerge/>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高中历史学科培训基地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莫  剑</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邬甬梅</w:t>
            </w:r>
          </w:p>
        </w:tc>
      </w:tr>
      <w:tr w:rsidR="00F605D6" w:rsidTr="007037E9">
        <w:trPr>
          <w:trHeight w:hRule="exact" w:val="539"/>
          <w:jc w:val="center"/>
        </w:trPr>
        <w:tc>
          <w:tcPr>
            <w:tcW w:w="540" w:type="dxa"/>
            <w:vMerge w:val="restart"/>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6</w:t>
            </w:r>
          </w:p>
        </w:tc>
        <w:tc>
          <w:tcPr>
            <w:tcW w:w="3045" w:type="dxa"/>
            <w:vMerge w:val="restart"/>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杭州第十四中学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高中生物学科培训基地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方  淳</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卓芳芳</w:t>
            </w:r>
          </w:p>
        </w:tc>
      </w:tr>
      <w:tr w:rsidR="00F605D6" w:rsidTr="007037E9">
        <w:trPr>
          <w:trHeight w:hRule="exact" w:val="554"/>
          <w:jc w:val="center"/>
        </w:trPr>
        <w:tc>
          <w:tcPr>
            <w:tcW w:w="540" w:type="dxa"/>
            <w:vMerge/>
            <w:tcBorders>
              <w:tl2br w:val="nil"/>
              <w:tr2bl w:val="nil"/>
            </w:tcBorders>
            <w:vAlign w:val="center"/>
          </w:tcPr>
          <w:p w:rsidR="00F605D6" w:rsidRDefault="00F605D6" w:rsidP="007037E9">
            <w:pPr>
              <w:widowControl/>
              <w:jc w:val="center"/>
              <w:rPr>
                <w:rFonts w:eastAsia="仿宋"/>
                <w:color w:val="000000"/>
                <w:kern w:val="0"/>
                <w:sz w:val="24"/>
              </w:rPr>
            </w:pPr>
          </w:p>
        </w:tc>
        <w:tc>
          <w:tcPr>
            <w:tcW w:w="3045" w:type="dxa"/>
            <w:vMerge/>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高中心理健康专业培训基地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冯冬怡</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周冰心</w:t>
            </w:r>
          </w:p>
        </w:tc>
      </w:tr>
      <w:tr w:rsidR="00F605D6" w:rsidTr="007037E9">
        <w:trPr>
          <w:trHeight w:hRule="exact" w:val="626"/>
          <w:jc w:val="center"/>
        </w:trPr>
        <w:tc>
          <w:tcPr>
            <w:tcW w:w="540" w:type="dxa"/>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7</w:t>
            </w:r>
          </w:p>
        </w:tc>
        <w:tc>
          <w:tcPr>
            <w:tcW w:w="304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浙江大学附属中学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高中政治学科培训基地</w:t>
            </w:r>
          </w:p>
        </w:tc>
        <w:tc>
          <w:tcPr>
            <w:tcW w:w="1215" w:type="dxa"/>
            <w:tcBorders>
              <w:tl2br w:val="nil"/>
              <w:tr2bl w:val="nil"/>
            </w:tcBorders>
            <w:noWrap/>
            <w:vAlign w:val="center"/>
          </w:tcPr>
          <w:p w:rsidR="00F605D6" w:rsidRDefault="00F605D6" w:rsidP="007037E9">
            <w:pPr>
              <w:widowControl/>
              <w:rPr>
                <w:rFonts w:ascii="仿宋" w:eastAsia="仿宋" w:hAnsi="仿宋" w:cs="宋体"/>
                <w:color w:val="000000"/>
                <w:kern w:val="0"/>
                <w:sz w:val="24"/>
              </w:rPr>
            </w:pPr>
            <w:r>
              <w:rPr>
                <w:rFonts w:ascii="仿宋" w:eastAsia="仿宋" w:hAnsi="仿宋" w:cs="宋体"/>
                <w:color w:val="000000"/>
                <w:kern w:val="0"/>
                <w:sz w:val="24"/>
              </w:rPr>
              <w:t>申屠永庆</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陈迎</w:t>
            </w:r>
            <w:r>
              <w:rPr>
                <w:rFonts w:ascii="仿宋" w:eastAsia="仿宋" w:hAnsi="仿宋" w:cs="宋体" w:hint="eastAsia"/>
                <w:color w:val="000000"/>
                <w:kern w:val="0"/>
                <w:sz w:val="24"/>
              </w:rPr>
              <w:t>春</w:t>
            </w:r>
          </w:p>
        </w:tc>
      </w:tr>
      <w:tr w:rsidR="00F605D6" w:rsidTr="007037E9">
        <w:trPr>
          <w:trHeight w:hRule="exact" w:val="614"/>
          <w:jc w:val="center"/>
        </w:trPr>
        <w:tc>
          <w:tcPr>
            <w:tcW w:w="540" w:type="dxa"/>
            <w:vMerge w:val="restart"/>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8</w:t>
            </w:r>
          </w:p>
        </w:tc>
        <w:tc>
          <w:tcPr>
            <w:tcW w:w="3045" w:type="dxa"/>
            <w:vMerge w:val="restart"/>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杭州学军中学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高中英语学科培训基地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郭  婷</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潘瑶瑶</w:t>
            </w:r>
          </w:p>
        </w:tc>
      </w:tr>
      <w:tr w:rsidR="00F605D6" w:rsidTr="007037E9">
        <w:trPr>
          <w:trHeight w:hRule="exact" w:val="599"/>
          <w:jc w:val="center"/>
        </w:trPr>
        <w:tc>
          <w:tcPr>
            <w:tcW w:w="540" w:type="dxa"/>
            <w:vMerge/>
            <w:tcBorders>
              <w:tl2br w:val="nil"/>
              <w:tr2bl w:val="nil"/>
            </w:tcBorders>
            <w:vAlign w:val="center"/>
          </w:tcPr>
          <w:p w:rsidR="00F605D6" w:rsidRDefault="00F605D6" w:rsidP="007037E9">
            <w:pPr>
              <w:widowControl/>
              <w:jc w:val="center"/>
              <w:rPr>
                <w:rFonts w:eastAsia="仿宋"/>
                <w:color w:val="000000"/>
                <w:kern w:val="0"/>
                <w:sz w:val="24"/>
              </w:rPr>
            </w:pPr>
          </w:p>
        </w:tc>
        <w:tc>
          <w:tcPr>
            <w:tcW w:w="3045" w:type="dxa"/>
            <w:vMerge/>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高中物理学科培训基地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吴春先</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黄</w:t>
            </w:r>
            <w:r>
              <w:rPr>
                <w:rFonts w:ascii="仿宋" w:eastAsia="仿宋" w:hAnsi="仿宋" w:cs="宋体" w:hint="eastAsia"/>
                <w:color w:val="000000"/>
                <w:kern w:val="0"/>
                <w:sz w:val="24"/>
              </w:rPr>
              <w:t xml:space="preserve">  </w:t>
            </w:r>
            <w:r>
              <w:rPr>
                <w:rFonts w:ascii="仿宋" w:eastAsia="仿宋" w:hAnsi="仿宋" w:cs="宋体"/>
                <w:color w:val="000000"/>
                <w:kern w:val="0"/>
                <w:sz w:val="24"/>
              </w:rPr>
              <w:t>晶</w:t>
            </w:r>
          </w:p>
        </w:tc>
      </w:tr>
      <w:tr w:rsidR="00F605D6" w:rsidTr="007037E9">
        <w:trPr>
          <w:trHeight w:hRule="exact" w:val="593"/>
          <w:jc w:val="center"/>
        </w:trPr>
        <w:tc>
          <w:tcPr>
            <w:tcW w:w="540" w:type="dxa"/>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9</w:t>
            </w:r>
          </w:p>
        </w:tc>
        <w:tc>
          <w:tcPr>
            <w:tcW w:w="304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杭州市源清中学</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高中信息技术学科培训基地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陈美锭</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color w:val="000000"/>
                <w:kern w:val="0"/>
                <w:sz w:val="24"/>
              </w:rPr>
              <w:t>席发科</w:t>
            </w:r>
          </w:p>
        </w:tc>
      </w:tr>
      <w:tr w:rsidR="00F605D6" w:rsidTr="007037E9">
        <w:trPr>
          <w:trHeight w:hRule="exact" w:val="569"/>
          <w:jc w:val="center"/>
        </w:trPr>
        <w:tc>
          <w:tcPr>
            <w:tcW w:w="540" w:type="dxa"/>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10</w:t>
            </w:r>
          </w:p>
        </w:tc>
        <w:tc>
          <w:tcPr>
            <w:tcW w:w="304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杭州市中策职业学校</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职高专业培训基地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沈柏民</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唐林达</w:t>
            </w:r>
          </w:p>
        </w:tc>
      </w:tr>
      <w:tr w:rsidR="00F605D6" w:rsidTr="007037E9">
        <w:trPr>
          <w:trHeight w:hRule="exact" w:val="569"/>
          <w:jc w:val="center"/>
        </w:trPr>
        <w:tc>
          <w:tcPr>
            <w:tcW w:w="540" w:type="dxa"/>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11</w:t>
            </w:r>
          </w:p>
        </w:tc>
        <w:tc>
          <w:tcPr>
            <w:tcW w:w="304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杭州市旅游职业学校</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职高专业培训基地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许  静</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highlight w:val="yellow"/>
              </w:rPr>
            </w:pPr>
            <w:r>
              <w:rPr>
                <w:rFonts w:ascii="仿宋" w:eastAsia="仿宋" w:hAnsi="仿宋" w:cs="宋体" w:hint="eastAsia"/>
                <w:color w:val="000000"/>
                <w:kern w:val="0"/>
                <w:sz w:val="24"/>
              </w:rPr>
              <w:t>李  莉</w:t>
            </w:r>
          </w:p>
        </w:tc>
      </w:tr>
      <w:tr w:rsidR="00F605D6" w:rsidTr="007037E9">
        <w:trPr>
          <w:trHeight w:hRule="exact" w:val="611"/>
          <w:jc w:val="center"/>
        </w:trPr>
        <w:tc>
          <w:tcPr>
            <w:tcW w:w="540" w:type="dxa"/>
            <w:tcBorders>
              <w:tl2br w:val="nil"/>
              <w:tr2bl w:val="nil"/>
            </w:tcBorders>
            <w:vAlign w:val="center"/>
          </w:tcPr>
          <w:p w:rsidR="00F605D6" w:rsidRDefault="00F605D6" w:rsidP="007037E9">
            <w:pPr>
              <w:widowControl/>
              <w:jc w:val="center"/>
              <w:rPr>
                <w:rFonts w:eastAsia="仿宋"/>
                <w:color w:val="000000"/>
                <w:kern w:val="0"/>
                <w:sz w:val="24"/>
              </w:rPr>
            </w:pPr>
            <w:r>
              <w:rPr>
                <w:rFonts w:eastAsia="仿宋"/>
                <w:color w:val="000000"/>
                <w:kern w:val="0"/>
                <w:sz w:val="24"/>
              </w:rPr>
              <w:t>12</w:t>
            </w:r>
          </w:p>
        </w:tc>
        <w:tc>
          <w:tcPr>
            <w:tcW w:w="304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杭州市电子信息职业学校</w:t>
            </w:r>
          </w:p>
        </w:tc>
        <w:tc>
          <w:tcPr>
            <w:tcW w:w="3120"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职高专业培训基地</w:t>
            </w:r>
          </w:p>
        </w:tc>
        <w:tc>
          <w:tcPr>
            <w:tcW w:w="1215" w:type="dxa"/>
            <w:tcBorders>
              <w:tl2br w:val="nil"/>
              <w:tr2bl w:val="nil"/>
            </w:tcBorders>
            <w:noWrap/>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佘运祥</w:t>
            </w:r>
          </w:p>
        </w:tc>
        <w:tc>
          <w:tcPr>
            <w:tcW w:w="1065" w:type="dxa"/>
            <w:tcBorders>
              <w:tl2br w:val="nil"/>
              <w:tr2bl w:val="nil"/>
            </w:tcBorders>
            <w:vAlign w:val="center"/>
          </w:tcPr>
          <w:p w:rsidR="00F605D6" w:rsidRDefault="00F605D6" w:rsidP="007037E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傅  姸</w:t>
            </w:r>
          </w:p>
        </w:tc>
      </w:tr>
    </w:tbl>
    <w:p w:rsidR="00F605D6" w:rsidRDefault="00F605D6" w:rsidP="00F605D6">
      <w:pPr>
        <w:spacing w:line="360" w:lineRule="auto"/>
        <w:rPr>
          <w:rFonts w:ascii="仿宋" w:eastAsia="仿宋" w:hAnsi="仿宋" w:cs="宋体"/>
          <w:color w:val="000000"/>
          <w:kern w:val="0"/>
          <w:sz w:val="24"/>
        </w:rPr>
      </w:pPr>
    </w:p>
    <w:p w:rsidR="00F605D6" w:rsidRDefault="00F605D6" w:rsidP="00F605D6">
      <w:pPr>
        <w:adjustRightInd w:val="0"/>
        <w:snapToGrid w:val="0"/>
        <w:spacing w:line="360" w:lineRule="auto"/>
        <w:ind w:right="-149"/>
        <w:rPr>
          <w:rFonts w:ascii="仿宋" w:eastAsia="仿宋" w:hAnsi="仿宋"/>
          <w:b/>
          <w:sz w:val="28"/>
          <w:szCs w:val="28"/>
        </w:rPr>
      </w:pPr>
    </w:p>
    <w:p w:rsidR="00F605D6" w:rsidRDefault="00F605D6" w:rsidP="00F605D6">
      <w:pPr>
        <w:adjustRightInd w:val="0"/>
        <w:snapToGrid w:val="0"/>
        <w:spacing w:line="360" w:lineRule="auto"/>
        <w:ind w:right="-149"/>
        <w:rPr>
          <w:rFonts w:ascii="黑体" w:eastAsia="黑体" w:hAnsi="黑体" w:cs="黑体" w:hint="eastAsia"/>
          <w:bCs/>
          <w:sz w:val="32"/>
          <w:szCs w:val="32"/>
        </w:rPr>
      </w:pPr>
      <w:r>
        <w:rPr>
          <w:rFonts w:ascii="黑体" w:eastAsia="黑体" w:hAnsi="黑体" w:cs="黑体" w:hint="eastAsia"/>
          <w:bCs/>
          <w:sz w:val="32"/>
          <w:szCs w:val="32"/>
        </w:rPr>
        <w:lastRenderedPageBreak/>
        <w:t>附件2</w:t>
      </w:r>
    </w:p>
    <w:p w:rsidR="00F605D6" w:rsidRDefault="00F605D6" w:rsidP="00F605D6">
      <w:pPr>
        <w:adjustRightInd w:val="0"/>
        <w:snapToGrid w:val="0"/>
        <w:spacing w:line="720" w:lineRule="exact"/>
        <w:ind w:right="-147"/>
        <w:jc w:val="center"/>
        <w:rPr>
          <w:rFonts w:ascii="小标宋" w:eastAsia="小标宋" w:hAnsi="小标宋" w:cs="小标宋" w:hint="eastAsia"/>
          <w:bCs/>
          <w:sz w:val="44"/>
          <w:szCs w:val="44"/>
        </w:rPr>
      </w:pPr>
      <w:r>
        <w:rPr>
          <w:rFonts w:ascii="小标宋" w:eastAsia="小标宋" w:hAnsi="小标宋" w:cs="小标宋" w:hint="eastAsia"/>
          <w:bCs/>
          <w:sz w:val="44"/>
          <w:szCs w:val="44"/>
        </w:rPr>
        <w:t>杭州市直属学校新任教师学科（专业）</w:t>
      </w:r>
    </w:p>
    <w:p w:rsidR="00F605D6" w:rsidRDefault="00F605D6" w:rsidP="00F605D6">
      <w:pPr>
        <w:adjustRightInd w:val="0"/>
        <w:snapToGrid w:val="0"/>
        <w:spacing w:line="720" w:lineRule="exact"/>
        <w:ind w:right="-147"/>
        <w:jc w:val="center"/>
        <w:rPr>
          <w:rFonts w:ascii="小标宋" w:eastAsia="小标宋" w:hAnsi="小标宋" w:cs="小标宋" w:hint="eastAsia"/>
          <w:bCs/>
          <w:sz w:val="44"/>
          <w:szCs w:val="44"/>
        </w:rPr>
      </w:pPr>
      <w:r>
        <w:rPr>
          <w:rFonts w:ascii="小标宋" w:eastAsia="小标宋" w:hAnsi="小标宋" w:cs="小标宋" w:hint="eastAsia"/>
          <w:bCs/>
          <w:sz w:val="44"/>
          <w:szCs w:val="44"/>
        </w:rPr>
        <w:t>培训基地工作方案</w:t>
      </w:r>
    </w:p>
    <w:p w:rsidR="00F605D6" w:rsidRDefault="00F605D6" w:rsidP="00F605D6">
      <w:pPr>
        <w:adjustRightInd w:val="0"/>
        <w:snapToGrid w:val="0"/>
        <w:spacing w:beforeLines="50" w:line="360" w:lineRule="auto"/>
        <w:ind w:right="-147"/>
        <w:rPr>
          <w:rFonts w:ascii="仿宋" w:eastAsia="仿宋" w:hAnsi="仿宋"/>
          <w:sz w:val="32"/>
          <w:szCs w:val="32"/>
        </w:rPr>
      </w:pP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为充分发挥直属学校的学科（专业）优势，进一步提高新任教师培训质量，现根据《杭州市中小学教师专业发展培训学分制管理办法实施细则（试行）》等相关规定，制定本工作方案。</w:t>
      </w:r>
    </w:p>
    <w:p w:rsidR="00F605D6" w:rsidRDefault="00F605D6" w:rsidP="00F605D6">
      <w:pPr>
        <w:adjustRightInd w:val="0"/>
        <w:snapToGrid w:val="0"/>
        <w:spacing w:line="360" w:lineRule="auto"/>
        <w:ind w:firstLineChars="202" w:firstLine="606"/>
        <w:rPr>
          <w:rFonts w:ascii="黑体" w:eastAsia="黑体" w:hAnsi="黑体" w:cs="黑体" w:hint="eastAsia"/>
          <w:bCs/>
          <w:sz w:val="30"/>
          <w:szCs w:val="30"/>
        </w:rPr>
      </w:pPr>
      <w:r>
        <w:rPr>
          <w:rFonts w:ascii="黑体" w:eastAsia="黑体" w:hAnsi="黑体" w:cs="黑体" w:hint="eastAsia"/>
          <w:bCs/>
          <w:sz w:val="30"/>
          <w:szCs w:val="30"/>
        </w:rPr>
        <w:t>一、工作目标</w:t>
      </w: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新任教师培训共计180学分，分为通识培训60学分、学科培训60学分、校本研修60学分3个部分。学科培训60学分主要由各直属学校相关学科（专业）培训基地负责实施，具体目标如下：</w:t>
      </w: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（一）通过专题讲座和在线学习，初步理解本学科或专业的课程标准和教材结构。</w:t>
      </w: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（二）通过课堂观摩和实践训练，初步掌握本学科或专业常用的教学方法和评价手段。</w:t>
      </w: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（三）通过说课练习和选拔参赛，初步锻炼教学分析和专业表达能力。</w:t>
      </w:r>
    </w:p>
    <w:p w:rsidR="00F605D6" w:rsidRDefault="00F605D6" w:rsidP="00F605D6">
      <w:pPr>
        <w:adjustRightInd w:val="0"/>
        <w:snapToGrid w:val="0"/>
        <w:spacing w:line="360" w:lineRule="auto"/>
        <w:ind w:firstLineChars="202" w:firstLine="606"/>
        <w:rPr>
          <w:rFonts w:ascii="黑体" w:eastAsia="黑体" w:hAnsi="黑体" w:cs="黑体" w:hint="eastAsia"/>
          <w:sz w:val="30"/>
          <w:szCs w:val="30"/>
        </w:rPr>
      </w:pPr>
      <w:r>
        <w:rPr>
          <w:rFonts w:ascii="黑体" w:eastAsia="黑体" w:hAnsi="黑体" w:cs="黑体" w:hint="eastAsia"/>
          <w:sz w:val="30"/>
          <w:szCs w:val="30"/>
        </w:rPr>
        <w:t>二、基地职责</w:t>
      </w:r>
    </w:p>
    <w:p w:rsidR="00F605D6" w:rsidRDefault="00F605D6" w:rsidP="00F605D6">
      <w:pPr>
        <w:adjustRightInd w:val="0"/>
        <w:snapToGrid w:val="0"/>
        <w:spacing w:line="360" w:lineRule="auto"/>
        <w:ind w:firstLineChars="200" w:firstLine="600"/>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（一）成立工作小组。原则上由分管教学业务副校长担任组长，基地负责人担任副组长，本学科骨干教师担任组员，并明确联系人。</w:t>
      </w:r>
    </w:p>
    <w:p w:rsidR="00F605D6" w:rsidRDefault="00F605D6" w:rsidP="00F605D6">
      <w:pPr>
        <w:adjustRightInd w:val="0"/>
        <w:snapToGrid w:val="0"/>
        <w:spacing w:line="360" w:lineRule="auto"/>
        <w:ind w:firstLineChars="200" w:firstLine="600"/>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（二）落实培训课程。工作小组应根据本方案的总体课程设计和本年度参训学员实际情况制定培训计划，</w:t>
      </w:r>
      <w:r>
        <w:rPr>
          <w:rFonts w:ascii="仿宋_GB2312" w:eastAsia="仿宋_GB2312" w:hAnsi="仿宋_GB2312" w:cs="仿宋_GB2312" w:hint="eastAsia"/>
          <w:sz w:val="30"/>
          <w:szCs w:val="30"/>
        </w:rPr>
        <w:t>应充分发挥本校优秀师资、</w:t>
      </w:r>
      <w:r>
        <w:rPr>
          <w:rFonts w:ascii="仿宋_GB2312" w:eastAsia="仿宋_GB2312" w:hAnsi="仿宋_GB2312" w:cs="仿宋_GB2312" w:hint="eastAsia"/>
          <w:sz w:val="30"/>
          <w:szCs w:val="30"/>
        </w:rPr>
        <w:lastRenderedPageBreak/>
        <w:t>适当聘请校外专家</w:t>
      </w:r>
      <w:r>
        <w:rPr>
          <w:rFonts w:ascii="仿宋_GB2312" w:eastAsia="仿宋_GB2312" w:hAnsi="仿宋_GB2312" w:cs="仿宋_GB2312" w:hint="eastAsia"/>
          <w:bCs/>
          <w:sz w:val="30"/>
          <w:szCs w:val="30"/>
        </w:rPr>
        <w:t>落实培训课程。</w:t>
      </w:r>
    </w:p>
    <w:p w:rsidR="00F605D6" w:rsidRDefault="00F605D6" w:rsidP="00F605D6">
      <w:pPr>
        <w:adjustRightInd w:val="0"/>
        <w:snapToGrid w:val="0"/>
        <w:spacing w:line="360" w:lineRule="auto"/>
        <w:ind w:firstLineChars="200" w:firstLine="600"/>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（三）提供培训条件。基地应</w:t>
      </w:r>
      <w:r>
        <w:rPr>
          <w:rFonts w:ascii="仿宋_GB2312" w:eastAsia="仿宋_GB2312" w:hAnsi="仿宋_GB2312" w:cs="仿宋_GB2312" w:hint="eastAsia"/>
          <w:sz w:val="30"/>
          <w:szCs w:val="30"/>
        </w:rPr>
        <w:t>提供充足的新教师集中培训场所和教学实践场所，并做好后勤保障工作。</w:t>
      </w:r>
    </w:p>
    <w:p w:rsidR="00F605D6" w:rsidRDefault="00F605D6" w:rsidP="00F605D6">
      <w:pPr>
        <w:adjustRightInd w:val="0"/>
        <w:snapToGrid w:val="0"/>
        <w:spacing w:line="360" w:lineRule="auto"/>
        <w:ind w:firstLineChars="200" w:firstLine="600"/>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（四）做好培训管理。基地应做好每次集中培训的考勤签到，加强过程评价、重视档案积累，提交培训工作总结。</w:t>
      </w:r>
    </w:p>
    <w:p w:rsidR="00F605D6" w:rsidRDefault="00F605D6" w:rsidP="00F605D6">
      <w:pPr>
        <w:adjustRightInd w:val="0"/>
        <w:snapToGrid w:val="0"/>
        <w:spacing w:line="360" w:lineRule="auto"/>
        <w:ind w:firstLineChars="202" w:firstLine="606"/>
        <w:rPr>
          <w:rFonts w:ascii="黑体" w:eastAsia="黑体" w:hAnsi="黑体" w:cs="黑体" w:hint="eastAsia"/>
          <w:sz w:val="30"/>
          <w:szCs w:val="30"/>
        </w:rPr>
      </w:pPr>
      <w:r>
        <w:rPr>
          <w:rFonts w:ascii="黑体" w:eastAsia="黑体" w:hAnsi="黑体" w:cs="黑体" w:hint="eastAsia"/>
          <w:sz w:val="30"/>
          <w:szCs w:val="30"/>
        </w:rPr>
        <w:t>三、课程设计</w:t>
      </w:r>
    </w:p>
    <w:tbl>
      <w:tblPr>
        <w:tblW w:w="89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75"/>
        <w:gridCol w:w="2645"/>
        <w:gridCol w:w="1215"/>
        <w:gridCol w:w="480"/>
        <w:gridCol w:w="3864"/>
      </w:tblGrid>
      <w:tr w:rsidR="00F605D6" w:rsidTr="007037E9">
        <w:trPr>
          <w:trHeight w:val="689"/>
          <w:jc w:val="center"/>
        </w:trPr>
        <w:tc>
          <w:tcPr>
            <w:tcW w:w="775" w:type="dxa"/>
            <w:vMerge w:val="restart"/>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学科</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教学</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理论</w:t>
            </w:r>
          </w:p>
          <w:p w:rsidR="00F605D6" w:rsidRDefault="00F605D6" w:rsidP="007037E9">
            <w:pPr>
              <w:ind w:rightChars="-74" w:right="-155"/>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（24）</w:t>
            </w: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1．学科课程标准与新版教材解读</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专题讲座</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3864" w:type="dxa"/>
            <w:vMerge w:val="restart"/>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此3项课程以基地学校师资为主，适当邀请校外专家。其中课标与新教材解读可充分利用人民教育出版社在线资源。</w:t>
            </w:r>
          </w:p>
          <w:p w:rsidR="00F605D6" w:rsidRDefault="00F605D6" w:rsidP="007037E9">
            <w:pPr>
              <w:spacing w:line="320" w:lineRule="exact"/>
              <w:textAlignment w:val="baseline"/>
              <w:rPr>
                <w:rFonts w:ascii="仿宋_GB2312" w:eastAsia="仿宋_GB2312" w:hAnsi="仿宋_GB2312" w:cs="仿宋_GB2312" w:hint="eastAsia"/>
                <w:sz w:val="23"/>
                <w:szCs w:val="23"/>
              </w:rPr>
            </w:pPr>
            <w:hyperlink r:id="rId6" w:history="1">
              <w:r>
                <w:rPr>
                  <w:rStyle w:val="a6"/>
                  <w:rFonts w:ascii="仿宋_GB2312" w:eastAsia="仿宋_GB2312" w:hAnsi="仿宋_GB2312" w:cs="仿宋_GB2312" w:hint="eastAsia"/>
                  <w:sz w:val="23"/>
                  <w:szCs w:val="23"/>
                </w:rPr>
                <w:t>https://wp.pep.com.cn/web/index.php?/px/trainList/26</w:t>
              </w:r>
            </w:hyperlink>
            <w:r>
              <w:rPr>
                <w:rFonts w:ascii="仿宋_GB2312" w:eastAsia="仿宋_GB2312" w:hAnsi="仿宋_GB2312" w:cs="仿宋_GB2312" w:hint="eastAsia"/>
                <w:sz w:val="23"/>
                <w:szCs w:val="23"/>
              </w:rPr>
              <w:t xml:space="preserve"> </w:t>
            </w:r>
          </w:p>
        </w:tc>
      </w:tr>
      <w:tr w:rsidR="00F605D6" w:rsidTr="007037E9">
        <w:trPr>
          <w:trHeight w:val="659"/>
          <w:jc w:val="center"/>
        </w:trPr>
        <w:tc>
          <w:tcPr>
            <w:tcW w:w="775" w:type="dxa"/>
            <w:vMerge/>
            <w:tcBorders>
              <w:tl2br w:val="nil"/>
              <w:tr2bl w:val="nil"/>
            </w:tcBorders>
          </w:tcPr>
          <w:p w:rsidR="00F605D6" w:rsidRDefault="00F605D6" w:rsidP="007037E9">
            <w:pPr>
              <w:textAlignment w:val="baseline"/>
              <w:rPr>
                <w:rFonts w:ascii="仿宋_GB2312" w:eastAsia="仿宋_GB2312" w:hAnsi="仿宋_GB2312" w:cs="仿宋_GB2312" w:hint="eastAsia"/>
                <w:sz w:val="24"/>
              </w:rPr>
            </w:pP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2．学科教学内容知识结构梳理</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专题讲座</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3864" w:type="dxa"/>
            <w:vMerge/>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3"/>
                <w:szCs w:val="23"/>
              </w:rPr>
            </w:pPr>
          </w:p>
        </w:tc>
      </w:tr>
      <w:tr w:rsidR="00F605D6" w:rsidTr="007037E9">
        <w:trPr>
          <w:trHeight w:val="730"/>
          <w:jc w:val="center"/>
        </w:trPr>
        <w:tc>
          <w:tcPr>
            <w:tcW w:w="775" w:type="dxa"/>
            <w:vMerge/>
            <w:tcBorders>
              <w:tl2br w:val="nil"/>
              <w:tr2bl w:val="nil"/>
            </w:tcBorders>
          </w:tcPr>
          <w:p w:rsidR="00F605D6" w:rsidRDefault="00F605D6" w:rsidP="007037E9">
            <w:pPr>
              <w:textAlignment w:val="baseline"/>
              <w:rPr>
                <w:rFonts w:ascii="仿宋_GB2312" w:eastAsia="仿宋_GB2312" w:hAnsi="仿宋_GB2312" w:cs="仿宋_GB2312" w:hint="eastAsia"/>
                <w:sz w:val="24"/>
              </w:rPr>
            </w:pP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3．学科常用教学评价方法与手段</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专题讲座</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3864" w:type="dxa"/>
            <w:vMerge/>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3"/>
                <w:szCs w:val="23"/>
              </w:rPr>
            </w:pPr>
          </w:p>
        </w:tc>
      </w:tr>
      <w:tr w:rsidR="00F605D6" w:rsidTr="007037E9">
        <w:trPr>
          <w:trHeight w:val="665"/>
          <w:jc w:val="center"/>
        </w:trPr>
        <w:tc>
          <w:tcPr>
            <w:tcW w:w="775" w:type="dxa"/>
            <w:vMerge w:val="restart"/>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学科</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教学</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实践</w:t>
            </w:r>
          </w:p>
          <w:p w:rsidR="00F605D6" w:rsidRDefault="00F605D6" w:rsidP="007037E9">
            <w:pPr>
              <w:ind w:rightChars="-74" w:right="-155"/>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（24）</w:t>
            </w: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4．学科典型内容的教学方法和技能</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教学观摩</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12</w:t>
            </w:r>
          </w:p>
        </w:tc>
        <w:tc>
          <w:tcPr>
            <w:tcW w:w="3864" w:type="dxa"/>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在基地观摩4—6节示范课，每节课后执教者介绍教学方法和技能</w:t>
            </w:r>
          </w:p>
        </w:tc>
      </w:tr>
      <w:tr w:rsidR="00F605D6" w:rsidTr="007037E9">
        <w:trPr>
          <w:trHeight w:val="705"/>
          <w:jc w:val="center"/>
        </w:trPr>
        <w:tc>
          <w:tcPr>
            <w:tcW w:w="775" w:type="dxa"/>
            <w:vMerge/>
            <w:tcBorders>
              <w:tl2br w:val="nil"/>
              <w:tr2bl w:val="nil"/>
            </w:tcBorders>
          </w:tcPr>
          <w:p w:rsidR="00F605D6" w:rsidRDefault="00F605D6" w:rsidP="007037E9">
            <w:pPr>
              <w:jc w:val="center"/>
              <w:textAlignment w:val="baseline"/>
              <w:rPr>
                <w:rFonts w:ascii="仿宋_GB2312" w:eastAsia="仿宋_GB2312" w:hAnsi="仿宋_GB2312" w:cs="仿宋_GB2312" w:hint="eastAsia"/>
                <w:sz w:val="24"/>
              </w:rPr>
            </w:pP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5．一节课的教学设计与实施</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自主实践</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3864" w:type="dxa"/>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学员在本校设计和实施一节课并完整录制教学过程</w:t>
            </w:r>
          </w:p>
        </w:tc>
      </w:tr>
      <w:tr w:rsidR="00F605D6" w:rsidTr="007037E9">
        <w:trPr>
          <w:trHeight w:val="422"/>
          <w:jc w:val="center"/>
        </w:trPr>
        <w:tc>
          <w:tcPr>
            <w:tcW w:w="775" w:type="dxa"/>
            <w:vMerge/>
            <w:tcBorders>
              <w:tl2br w:val="nil"/>
              <w:tr2bl w:val="nil"/>
            </w:tcBorders>
          </w:tcPr>
          <w:p w:rsidR="00F605D6" w:rsidRDefault="00F605D6" w:rsidP="007037E9">
            <w:pPr>
              <w:jc w:val="center"/>
              <w:textAlignment w:val="baseline"/>
              <w:rPr>
                <w:rFonts w:ascii="仿宋_GB2312" w:eastAsia="仿宋_GB2312" w:hAnsi="仿宋_GB2312" w:cs="仿宋_GB2312" w:hint="eastAsia"/>
                <w:sz w:val="24"/>
                <w:highlight w:val="green"/>
              </w:rPr>
            </w:pP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6．课堂教学诊断</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专题研讨</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3864" w:type="dxa"/>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随机抽出不少于6名学员上诊断课，导师组织评课议课</w:t>
            </w:r>
          </w:p>
        </w:tc>
      </w:tr>
      <w:tr w:rsidR="00F605D6" w:rsidTr="007037E9">
        <w:trPr>
          <w:trHeight w:val="632"/>
          <w:jc w:val="center"/>
        </w:trPr>
        <w:tc>
          <w:tcPr>
            <w:tcW w:w="775" w:type="dxa"/>
            <w:vMerge w:val="restart"/>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说课</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能力</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训练</w:t>
            </w:r>
          </w:p>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(12)</w:t>
            </w: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7．一节课的说课准备</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自主实践</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3864" w:type="dxa"/>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所有学员撰写说课稿、制作说课课件</w:t>
            </w:r>
          </w:p>
        </w:tc>
      </w:tr>
      <w:tr w:rsidR="00F605D6" w:rsidTr="007037E9">
        <w:trPr>
          <w:trHeight w:val="422"/>
          <w:jc w:val="center"/>
        </w:trPr>
        <w:tc>
          <w:tcPr>
            <w:tcW w:w="775" w:type="dxa"/>
            <w:vMerge/>
            <w:tcBorders>
              <w:tl2br w:val="nil"/>
              <w:tr2bl w:val="nil"/>
            </w:tcBorders>
          </w:tcPr>
          <w:p w:rsidR="00F605D6" w:rsidRDefault="00F605D6" w:rsidP="007037E9">
            <w:pPr>
              <w:textAlignment w:val="baseline"/>
              <w:rPr>
                <w:rFonts w:ascii="仿宋_GB2312" w:eastAsia="仿宋_GB2312" w:hAnsi="仿宋_GB2312" w:cs="仿宋_GB2312" w:hint="eastAsia"/>
                <w:sz w:val="24"/>
                <w:highlight w:val="green"/>
              </w:rPr>
            </w:pP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8．说课实战与推优</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专题研讨</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3864" w:type="dxa"/>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随机抽出不少于6名学员进行现场说课，导师点评并按本学科人数的5%选拔出参赛者</w:t>
            </w:r>
          </w:p>
        </w:tc>
      </w:tr>
      <w:tr w:rsidR="00F605D6" w:rsidTr="007037E9">
        <w:trPr>
          <w:trHeight w:val="715"/>
          <w:jc w:val="center"/>
        </w:trPr>
        <w:tc>
          <w:tcPr>
            <w:tcW w:w="775" w:type="dxa"/>
            <w:vMerge/>
            <w:tcBorders>
              <w:tl2br w:val="nil"/>
              <w:tr2bl w:val="nil"/>
            </w:tcBorders>
          </w:tcPr>
          <w:p w:rsidR="00F605D6" w:rsidRDefault="00F605D6" w:rsidP="007037E9">
            <w:pPr>
              <w:textAlignment w:val="baseline"/>
              <w:rPr>
                <w:rFonts w:ascii="仿宋_GB2312" w:eastAsia="仿宋_GB2312" w:hAnsi="仿宋_GB2312" w:cs="仿宋_GB2312" w:hint="eastAsia"/>
                <w:sz w:val="24"/>
                <w:highlight w:val="green"/>
              </w:rPr>
            </w:pPr>
          </w:p>
        </w:tc>
        <w:tc>
          <w:tcPr>
            <w:tcW w:w="2645" w:type="dxa"/>
            <w:tcBorders>
              <w:tl2br w:val="nil"/>
              <w:tr2bl w:val="nil"/>
            </w:tcBorders>
            <w:vAlign w:val="center"/>
          </w:tcPr>
          <w:p w:rsidR="00F605D6" w:rsidRDefault="00F605D6" w:rsidP="007037E9">
            <w:pP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9．新教师说课大赛</w:t>
            </w:r>
          </w:p>
        </w:tc>
        <w:tc>
          <w:tcPr>
            <w:tcW w:w="1215"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结业展示</w:t>
            </w:r>
          </w:p>
        </w:tc>
        <w:tc>
          <w:tcPr>
            <w:tcW w:w="480" w:type="dxa"/>
            <w:tcBorders>
              <w:tl2br w:val="nil"/>
              <w:tr2bl w:val="nil"/>
            </w:tcBorders>
            <w:vAlign w:val="center"/>
          </w:tcPr>
          <w:p w:rsidR="00F605D6" w:rsidRDefault="00F605D6" w:rsidP="007037E9">
            <w:pPr>
              <w:jc w:val="center"/>
              <w:textAlignment w:val="baseline"/>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3864" w:type="dxa"/>
            <w:tcBorders>
              <w:tl2br w:val="nil"/>
              <w:tr2bl w:val="nil"/>
            </w:tcBorders>
            <w:vAlign w:val="center"/>
          </w:tcPr>
          <w:p w:rsidR="00F605D6" w:rsidRDefault="00F605D6" w:rsidP="007037E9">
            <w:pPr>
              <w:spacing w:line="320" w:lineRule="exact"/>
              <w:textAlignment w:val="baseline"/>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由市</w:t>
            </w:r>
            <w:r>
              <w:rPr>
                <w:rFonts w:ascii="仿宋_GB2312" w:eastAsia="仿宋_GB2312" w:hAnsi="仿宋_GB2312" w:cs="仿宋_GB2312" w:hint="eastAsia"/>
                <w:color w:val="000000"/>
                <w:sz w:val="23"/>
                <w:szCs w:val="23"/>
              </w:rPr>
              <w:t>师训</w:t>
            </w:r>
            <w:r>
              <w:rPr>
                <w:rFonts w:ascii="仿宋_GB2312" w:eastAsia="仿宋_GB2312" w:hAnsi="仿宋_GB2312" w:cs="仿宋_GB2312" w:hint="eastAsia"/>
                <w:sz w:val="23"/>
                <w:szCs w:val="23"/>
              </w:rPr>
              <w:t>中心统一组织，分文、理两大组于结业当天进行</w:t>
            </w:r>
          </w:p>
        </w:tc>
      </w:tr>
    </w:tbl>
    <w:p w:rsidR="00F605D6" w:rsidRDefault="00F605D6" w:rsidP="00F605D6">
      <w:pPr>
        <w:snapToGrid w:val="0"/>
        <w:spacing w:line="360" w:lineRule="auto"/>
        <w:ind w:firstLineChars="200" w:firstLine="600"/>
        <w:rPr>
          <w:rFonts w:ascii="黑体" w:eastAsia="黑体" w:hAnsi="黑体" w:cs="黑体" w:hint="eastAsia"/>
          <w:sz w:val="30"/>
          <w:szCs w:val="30"/>
        </w:rPr>
      </w:pPr>
    </w:p>
    <w:p w:rsidR="00F605D6" w:rsidRDefault="00F605D6" w:rsidP="00F605D6">
      <w:pPr>
        <w:snapToGrid w:val="0"/>
        <w:spacing w:line="360" w:lineRule="auto"/>
        <w:ind w:firstLineChars="200" w:firstLine="600"/>
        <w:rPr>
          <w:rFonts w:ascii="黑体" w:eastAsia="黑体" w:hAnsi="黑体" w:cs="黑体" w:hint="eastAsia"/>
          <w:sz w:val="30"/>
          <w:szCs w:val="30"/>
        </w:rPr>
      </w:pPr>
      <w:r>
        <w:rPr>
          <w:rFonts w:ascii="黑体" w:eastAsia="黑体" w:hAnsi="黑体" w:cs="黑体" w:hint="eastAsia"/>
          <w:sz w:val="30"/>
          <w:szCs w:val="30"/>
        </w:rPr>
        <w:t>四、课程实施</w:t>
      </w: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（一）一个学科或专业人数达到15人及以上者，基地应采用班级培训模式，完整执行上述培训课程。如人数少于15人，应采用小组跟岗模式。</w:t>
      </w:r>
    </w:p>
    <w:p w:rsidR="00F605D6" w:rsidRDefault="00F605D6" w:rsidP="00F605D6">
      <w:pPr>
        <w:adjustRightInd w:val="0"/>
        <w:snapToGrid w:val="0"/>
        <w:spacing w:line="360" w:lineRule="auto"/>
        <w:ind w:firstLineChars="202" w:firstLine="606"/>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二）小组跟岗模式原则上不展开班级形式的专题讲座，课程表中1、2、3项课程一般以自学为主，应充分利用人民教育出版社在线资源，基地负责人做好课程选择、过程指导与检查督促；课程表中4—8项课程以小组跟岗观摩为主，基地负责人组织专题研讨。</w:t>
      </w:r>
    </w:p>
    <w:p w:rsidR="00F605D6" w:rsidRDefault="00F605D6" w:rsidP="00F605D6">
      <w:pPr>
        <w:snapToGrid w:val="0"/>
        <w:spacing w:line="360" w:lineRule="auto"/>
        <w:ind w:firstLine="56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（三）培训课程一般在两个月内分阶段完成；理论性课程可安排在双休日，实践性课程一般安排在工作日。</w:t>
      </w:r>
    </w:p>
    <w:p w:rsidR="00F605D6" w:rsidRDefault="00F605D6" w:rsidP="00F605D6">
      <w:pPr>
        <w:snapToGrid w:val="0"/>
        <w:spacing w:line="360" w:lineRule="auto"/>
        <w:ind w:firstLine="56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（四）学员结束基地学科培训时应完成4份作业：一节课的教学设计方案，一节执行该教案的课堂教学录像，一份说课文字稿，一份针对该说课稿的电子演示文稿（PPT）。</w:t>
      </w:r>
    </w:p>
    <w:p w:rsidR="00F605D6" w:rsidRDefault="00F605D6" w:rsidP="00F605D6">
      <w:pPr>
        <w:snapToGrid w:val="0"/>
        <w:spacing w:line="360" w:lineRule="auto"/>
        <w:ind w:firstLineChars="200" w:firstLine="600"/>
        <w:rPr>
          <w:rFonts w:ascii="黑体" w:eastAsia="黑体" w:hAnsi="黑体" w:cs="黑体" w:hint="eastAsia"/>
          <w:sz w:val="30"/>
          <w:szCs w:val="30"/>
        </w:rPr>
      </w:pPr>
      <w:r>
        <w:rPr>
          <w:rFonts w:ascii="黑体" w:eastAsia="黑体" w:hAnsi="黑体" w:cs="黑体" w:hint="eastAsia"/>
          <w:sz w:val="30"/>
          <w:szCs w:val="30"/>
        </w:rPr>
        <w:t>五、保障措施</w:t>
      </w:r>
    </w:p>
    <w:p w:rsidR="00F605D6" w:rsidRDefault="00F605D6" w:rsidP="00F605D6">
      <w:pPr>
        <w:snapToGrid w:val="0"/>
        <w:spacing w:line="360" w:lineRule="auto"/>
        <w:ind w:firstLine="56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市师训中心应做好业务指导、过程监督和考核评价工作。在基地学科培训开始前，要组织基地负责人和联系人进行培训并与学员见面，确保双方均明确培训要求和具体规则；在培训过程中，要运用教师培训质量监控平台做好过程管理，并随机现场督查；培训结束后，要及时汇总各种过程性材料和学员作业，并对基地工作进行考核评价。</w:t>
      </w:r>
    </w:p>
    <w:p w:rsidR="00F605D6" w:rsidRDefault="00F605D6" w:rsidP="00F605D6">
      <w:pPr>
        <w:adjustRightInd w:val="0"/>
        <w:snapToGrid w:val="0"/>
        <w:spacing w:line="360" w:lineRule="auto"/>
        <w:ind w:firstLineChars="202" w:firstLine="606"/>
        <w:outlineLvl w:val="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（二）基地负责人和联系人在圆满完成年度培训任务的前提下，每年可计入36个培训学分（由市</w:t>
      </w:r>
      <w:r>
        <w:rPr>
          <w:rFonts w:ascii="仿宋_GB2312" w:eastAsia="仿宋_GB2312" w:hAnsi="仿宋_GB2312" w:cs="仿宋_GB2312" w:hint="eastAsia"/>
          <w:color w:val="000000"/>
          <w:sz w:val="30"/>
          <w:szCs w:val="30"/>
        </w:rPr>
        <w:t>师训</w:t>
      </w:r>
      <w:r>
        <w:rPr>
          <w:rFonts w:ascii="仿宋_GB2312" w:eastAsia="仿宋_GB2312" w:hAnsi="仿宋_GB2312" w:cs="仿宋_GB2312" w:hint="eastAsia"/>
          <w:sz w:val="30"/>
          <w:szCs w:val="30"/>
        </w:rPr>
        <w:t>中心直接录入培训管理平台）。</w:t>
      </w:r>
    </w:p>
    <w:p w:rsidR="00F605D6" w:rsidRDefault="00F605D6" w:rsidP="00F605D6">
      <w:pPr>
        <w:snapToGrid w:val="0"/>
        <w:spacing w:line="360" w:lineRule="auto"/>
        <w:ind w:firstLine="56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每年度学科培训完成后，市师训中心以适当方式组织评选一定比例的年度优秀基地，上报市教育局予以认定；在评选杭州市“四优一突出”等系列荣誉称号时，优秀基地负责人和联系人可在同等条件下予以倾斜。</w:t>
      </w:r>
    </w:p>
    <w:p w:rsidR="00F605D6" w:rsidRDefault="00F605D6" w:rsidP="00F605D6">
      <w:pPr>
        <w:snapToGrid w:val="0"/>
        <w:spacing w:line="360" w:lineRule="auto"/>
        <w:ind w:firstLine="56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（四）在推荐参加“长三角”名校长项目、浙派名师名校长培养</w:t>
      </w:r>
      <w:r>
        <w:rPr>
          <w:rFonts w:ascii="仿宋_GB2312" w:eastAsia="仿宋_GB2312" w:hAnsi="仿宋_GB2312" w:cs="仿宋_GB2312" w:hint="eastAsia"/>
          <w:sz w:val="30"/>
          <w:szCs w:val="30"/>
        </w:rPr>
        <w:lastRenderedPageBreak/>
        <w:t>工程、杭州市中小学名师名校长培养工程等高端研修项目时，基地负责人和联系人可在同等条件下予以倾斜。</w:t>
      </w:r>
    </w:p>
    <w:p w:rsidR="00F605D6" w:rsidRDefault="00F605D6" w:rsidP="00F605D6">
      <w:pPr>
        <w:snapToGrid w:val="0"/>
        <w:spacing w:line="360" w:lineRule="auto"/>
        <w:ind w:firstLine="56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（五）各基地邀请进行专业指导（专题讲座或展示课等）的专家、教师（含校内校外），市师训中心均按相关标准支付课酬并开具证明。</w:t>
      </w:r>
    </w:p>
    <w:p w:rsidR="00F605D6" w:rsidRDefault="00F605D6" w:rsidP="00F605D6">
      <w:pPr>
        <w:snapToGrid w:val="0"/>
        <w:spacing w:beforeLines="40" w:line="360" w:lineRule="auto"/>
        <w:jc w:val="left"/>
        <w:rPr>
          <w:rFonts w:ascii="仿宋_GB2312" w:eastAsia="仿宋_GB2312" w:hint="eastAsia"/>
          <w:sz w:val="28"/>
          <w:szCs w:val="28"/>
        </w:rPr>
      </w:pPr>
    </w:p>
    <w:p w:rsidR="00CB0147" w:rsidRPr="00F605D6" w:rsidRDefault="00CB0147"/>
    <w:sectPr w:rsidR="00CB0147" w:rsidRPr="00F605D6">
      <w:headerReference w:type="default" r:id="rId7"/>
      <w:footerReference w:type="even" r:id="rId8"/>
      <w:footerReference w:type="default" r:id="rId9"/>
      <w:pgSz w:w="11906" w:h="16838"/>
      <w:pgMar w:top="1797" w:right="1440" w:bottom="1797" w:left="1440" w:header="851" w:footer="141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147" w:rsidRDefault="00CB0147" w:rsidP="00F605D6">
      <w:r>
        <w:separator/>
      </w:r>
    </w:p>
  </w:endnote>
  <w:endnote w:type="continuationSeparator" w:id="1">
    <w:p w:rsidR="00CB0147" w:rsidRDefault="00CB0147" w:rsidP="00F60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47">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CB014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47">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605D6">
      <w:rPr>
        <w:rStyle w:val="a5"/>
        <w:noProof/>
        <w:sz w:val="28"/>
        <w:szCs w:val="28"/>
      </w:rPr>
      <w:t>5</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CB014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147" w:rsidRDefault="00CB0147" w:rsidP="00F605D6">
      <w:r>
        <w:separator/>
      </w:r>
    </w:p>
  </w:footnote>
  <w:footnote w:type="continuationSeparator" w:id="1">
    <w:p w:rsidR="00CB0147" w:rsidRDefault="00CB0147" w:rsidP="00F6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4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5D6"/>
    <w:rsid w:val="00CB0147"/>
    <w:rsid w:val="00F60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605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05D6"/>
    <w:rPr>
      <w:sz w:val="18"/>
      <w:szCs w:val="18"/>
    </w:rPr>
  </w:style>
  <w:style w:type="paragraph" w:styleId="a4">
    <w:name w:val="footer"/>
    <w:basedOn w:val="a"/>
    <w:link w:val="Char0"/>
    <w:unhideWhenUsed/>
    <w:rsid w:val="00F605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05D6"/>
    <w:rPr>
      <w:sz w:val="18"/>
      <w:szCs w:val="18"/>
    </w:rPr>
  </w:style>
  <w:style w:type="character" w:styleId="a5">
    <w:name w:val="page number"/>
    <w:basedOn w:val="a0"/>
    <w:rsid w:val="00F605D6"/>
  </w:style>
  <w:style w:type="character" w:styleId="a6">
    <w:name w:val="Hyperlink"/>
    <w:basedOn w:val="a0"/>
    <w:rsid w:val="00F605D6"/>
    <w:rPr>
      <w:color w:val="0000EE"/>
      <w:u w:val="singl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pep.com.cn/web/index.php?/px/trainList/2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2022-09-08T11:33:00Z</dcterms:created>
  <dcterms:modified xsi:type="dcterms:W3CDTF">2022-09-08T11:33:00Z</dcterms:modified>
</cp:coreProperties>
</file>